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1E9" w:rsidRPr="00C34D53" w:rsidRDefault="004A71E9" w:rsidP="00625BED">
      <w:pPr>
        <w:pStyle w:val="Nagwek"/>
        <w:tabs>
          <w:tab w:val="clear" w:pos="4536"/>
          <w:tab w:val="clear" w:pos="9072"/>
        </w:tabs>
        <w:rPr>
          <w:rFonts w:asciiTheme="minorHAnsi" w:hAnsiTheme="minorHAnsi" w:cs="Arial"/>
          <w:sz w:val="2"/>
          <w:szCs w:val="2"/>
        </w:rPr>
        <w:sectPr w:rsidR="004A71E9" w:rsidRPr="00C34D53" w:rsidSect="00E67D63">
          <w:headerReference w:type="default" r:id="rId8"/>
          <w:footerReference w:type="default" r:id="rId9"/>
          <w:pgSz w:w="11906" w:h="16838"/>
          <w:pgMar w:top="1132" w:right="624" w:bottom="1259" w:left="1259" w:header="357" w:footer="323" w:gutter="0"/>
          <w:pgBorders w:offsetFrom="page">
            <w:bottom w:val="single" w:sz="4" w:space="24" w:color="FFFFFF"/>
          </w:pgBorders>
          <w:cols w:space="708"/>
          <w:docGrid w:linePitch="360"/>
        </w:sectPr>
      </w:pPr>
    </w:p>
    <w:p w:rsidR="00AA0419" w:rsidRPr="00C34D53" w:rsidRDefault="00AA0419" w:rsidP="00A43770">
      <w:pPr>
        <w:rPr>
          <w:rFonts w:asciiTheme="minorHAnsi" w:hAnsiTheme="minorHAnsi" w:cs="Arial"/>
          <w:b/>
          <w:sz w:val="20"/>
          <w:szCs w:val="20"/>
        </w:rPr>
      </w:pPr>
    </w:p>
    <w:p w:rsidR="00716AC1" w:rsidRDefault="007A5584" w:rsidP="00716AC1">
      <w:pPr>
        <w:autoSpaceDE w:val="0"/>
        <w:autoSpaceDN w:val="0"/>
        <w:adjustRightInd w:val="0"/>
        <w:ind w:left="-426"/>
        <w:jc w:val="both"/>
        <w:rPr>
          <w:rFonts w:asciiTheme="minorHAnsi" w:hAnsiTheme="minorHAnsi" w:cs="Arial"/>
          <w:sz w:val="22"/>
          <w:szCs w:val="22"/>
        </w:rPr>
      </w:pPr>
      <w:r w:rsidRPr="007A5584">
        <w:rPr>
          <w:rFonts w:asciiTheme="minorHAnsi" w:hAnsiTheme="minorHAnsi" w:cs="Arial"/>
          <w:sz w:val="22"/>
          <w:szCs w:val="22"/>
        </w:rPr>
        <w:t xml:space="preserve">Opracowanie zawiera zbiorcze </w:t>
      </w:r>
      <w:r w:rsidR="00B7665C">
        <w:rPr>
          <w:rFonts w:asciiTheme="minorHAnsi" w:hAnsiTheme="minorHAnsi" w:cs="Arial"/>
          <w:sz w:val="22"/>
          <w:szCs w:val="22"/>
        </w:rPr>
        <w:t xml:space="preserve">zestawienie </w:t>
      </w:r>
      <w:r w:rsidR="00E15379" w:rsidRPr="007A5584">
        <w:rPr>
          <w:rFonts w:asciiTheme="minorHAnsi" w:hAnsiTheme="minorHAnsi" w:cs="Arial"/>
          <w:sz w:val="22"/>
          <w:szCs w:val="22"/>
        </w:rPr>
        <w:t xml:space="preserve">wyników </w:t>
      </w:r>
      <w:r w:rsidRPr="007A5584">
        <w:rPr>
          <w:rFonts w:asciiTheme="minorHAnsi" w:hAnsiTheme="minorHAnsi" w:cs="Arial"/>
          <w:sz w:val="22"/>
          <w:szCs w:val="22"/>
        </w:rPr>
        <w:t xml:space="preserve">banków spółdzielczych </w:t>
      </w:r>
      <w:r w:rsidR="00D56560">
        <w:rPr>
          <w:rFonts w:asciiTheme="minorHAnsi" w:hAnsiTheme="minorHAnsi" w:cs="Arial"/>
          <w:sz w:val="22"/>
          <w:szCs w:val="22"/>
        </w:rPr>
        <w:t xml:space="preserve">za 1H’13 </w:t>
      </w:r>
      <w:r w:rsidR="00E15379" w:rsidRPr="007A5584">
        <w:rPr>
          <w:rFonts w:asciiTheme="minorHAnsi" w:hAnsiTheme="minorHAnsi" w:cs="Arial"/>
          <w:sz w:val="22"/>
          <w:szCs w:val="22"/>
        </w:rPr>
        <w:t>wraz z komentarzem.</w:t>
      </w:r>
    </w:p>
    <w:p w:rsidR="00716AC1" w:rsidRDefault="00716AC1" w:rsidP="00716AC1">
      <w:pPr>
        <w:autoSpaceDE w:val="0"/>
        <w:autoSpaceDN w:val="0"/>
        <w:adjustRightInd w:val="0"/>
        <w:ind w:left="-426"/>
        <w:jc w:val="both"/>
        <w:rPr>
          <w:rFonts w:asciiTheme="minorHAnsi" w:hAnsiTheme="minorHAnsi" w:cs="Arial"/>
          <w:sz w:val="22"/>
          <w:szCs w:val="22"/>
        </w:rPr>
      </w:pPr>
    </w:p>
    <w:p w:rsidR="00716AC1" w:rsidRPr="009A471D" w:rsidRDefault="00716AC1" w:rsidP="00716AC1">
      <w:pPr>
        <w:ind w:left="-426"/>
        <w:jc w:val="both"/>
        <w:rPr>
          <w:rStyle w:val="Tytuksiki"/>
          <w:rFonts w:asciiTheme="minorHAnsi" w:eastAsiaTheme="majorEastAsia" w:hAnsiTheme="minorHAnsi" w:cstheme="minorHAnsi"/>
          <w:bCs w:val="0"/>
          <w:spacing w:val="0"/>
          <w:sz w:val="28"/>
          <w:szCs w:val="28"/>
        </w:rPr>
      </w:pPr>
      <w:r w:rsidRPr="009A471D">
        <w:rPr>
          <w:rStyle w:val="Tytuksiki"/>
          <w:rFonts w:asciiTheme="minorHAnsi" w:eastAsiaTheme="majorEastAsia" w:hAnsiTheme="minorHAnsi" w:cstheme="minorHAnsi"/>
          <w:bCs w:val="0"/>
          <w:spacing w:val="0"/>
          <w:sz w:val="28"/>
          <w:szCs w:val="28"/>
        </w:rPr>
        <w:t>ZBIORCZE ZESTAWIENIE WYBRANYCH DANYCH</w:t>
      </w:r>
    </w:p>
    <w:p w:rsidR="00716AC1" w:rsidRPr="00D56560" w:rsidRDefault="007C0EC3" w:rsidP="00D56560">
      <w:pPr>
        <w:jc w:val="both"/>
        <w:rPr>
          <w:rStyle w:val="Tytuksiki"/>
        </w:rPr>
      </w:pPr>
      <w:bookmarkStart w:id="0" w:name="_GoBack"/>
      <w:bookmarkEnd w:id="0"/>
      <w:r w:rsidRPr="007C0EC3">
        <w:rPr>
          <w:noProof/>
        </w:rPr>
        <w:drawing>
          <wp:inline distT="0" distB="0" distL="0" distR="0">
            <wp:extent cx="5616000" cy="3703257"/>
            <wp:effectExtent l="19050" t="0" r="375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616000" cy="3703257"/>
                    </a:xfrm>
                    <a:prstGeom prst="rect">
                      <a:avLst/>
                    </a:prstGeom>
                    <a:noFill/>
                    <a:ln w="9525">
                      <a:noFill/>
                      <a:miter lim="800000"/>
                      <a:headEnd/>
                      <a:tailEnd/>
                    </a:ln>
                  </pic:spPr>
                </pic:pic>
              </a:graphicData>
            </a:graphic>
          </wp:inline>
        </w:drawing>
      </w:r>
    </w:p>
    <w:p w:rsidR="00D56560" w:rsidRPr="00D56560" w:rsidRDefault="00D56560" w:rsidP="00716AC1">
      <w:pPr>
        <w:rPr>
          <w:rStyle w:val="Tytuksiki"/>
          <w:rFonts w:asciiTheme="minorHAnsi" w:hAnsiTheme="minorHAnsi" w:cstheme="minorHAnsi"/>
          <w:b w:val="0"/>
          <w:i/>
          <w:sz w:val="18"/>
          <w:szCs w:val="18"/>
        </w:rPr>
      </w:pPr>
      <w:r w:rsidRPr="00D56560">
        <w:rPr>
          <w:rFonts w:ascii="Calibri" w:hAnsi="Calibri" w:cs="Arial"/>
          <w:bCs/>
          <w:i/>
          <w:sz w:val="18"/>
          <w:szCs w:val="18"/>
        </w:rPr>
        <w:t>Źródło: opracowanie DM BPS na podstawie raportów banków</w:t>
      </w:r>
    </w:p>
    <w:p w:rsidR="00D56560" w:rsidRPr="00F55231" w:rsidRDefault="00D56560" w:rsidP="00716AC1">
      <w:pPr>
        <w:rPr>
          <w:rStyle w:val="Tytuksiki"/>
          <w:rFonts w:asciiTheme="minorHAnsi" w:hAnsiTheme="minorHAnsi" w:cstheme="minorHAnsi"/>
          <w:b w:val="0"/>
        </w:rPr>
      </w:pPr>
    </w:p>
    <w:p w:rsidR="00716AC1" w:rsidRPr="009A471D" w:rsidRDefault="00716AC1" w:rsidP="00716AC1">
      <w:pPr>
        <w:ind w:left="-426"/>
        <w:jc w:val="both"/>
        <w:rPr>
          <w:rStyle w:val="Tytuksiki"/>
          <w:rFonts w:asciiTheme="minorHAnsi" w:eastAsiaTheme="majorEastAsia" w:hAnsiTheme="minorHAnsi" w:cstheme="minorHAnsi"/>
          <w:bCs w:val="0"/>
          <w:spacing w:val="0"/>
          <w:sz w:val="28"/>
          <w:szCs w:val="28"/>
        </w:rPr>
      </w:pPr>
      <w:r w:rsidRPr="009A471D">
        <w:rPr>
          <w:rStyle w:val="Tytuksiki"/>
          <w:rFonts w:asciiTheme="minorHAnsi" w:eastAsiaTheme="majorEastAsia" w:hAnsiTheme="minorHAnsi" w:cstheme="minorHAnsi"/>
          <w:bCs w:val="0"/>
          <w:spacing w:val="0"/>
          <w:sz w:val="28"/>
          <w:szCs w:val="28"/>
        </w:rPr>
        <w:t>PODSUMOWANIE</w:t>
      </w:r>
    </w:p>
    <w:p w:rsidR="00716AC1" w:rsidRDefault="00716AC1" w:rsidP="00716AC1">
      <w:pPr>
        <w:ind w:left="-426"/>
        <w:jc w:val="both"/>
        <w:rPr>
          <w:rFonts w:ascii="Calibri" w:hAnsi="Calibri" w:cs="Arial"/>
          <w:bCs/>
          <w:sz w:val="22"/>
          <w:szCs w:val="22"/>
        </w:rPr>
      </w:pPr>
    </w:p>
    <w:p w:rsidR="00716AC1" w:rsidRPr="00731591" w:rsidRDefault="00716AC1" w:rsidP="00716AC1">
      <w:pPr>
        <w:ind w:left="-426"/>
        <w:jc w:val="both"/>
        <w:rPr>
          <w:rFonts w:ascii="Calibri" w:hAnsi="Calibri" w:cs="Arial"/>
          <w:bCs/>
          <w:sz w:val="22"/>
          <w:szCs w:val="22"/>
        </w:rPr>
      </w:pPr>
      <w:r w:rsidRPr="00731591">
        <w:rPr>
          <w:rFonts w:ascii="Calibri" w:hAnsi="Calibri" w:cs="Arial"/>
          <w:bCs/>
          <w:sz w:val="22"/>
          <w:szCs w:val="22"/>
        </w:rPr>
        <w:t xml:space="preserve">Większość banków spółdzielczych, których obligacje notowane są na rynku Catalyst wypracowała słabsze wyniki finansowe za sprawą negatywnych tendencji w zakresie kształtowania stóp procentowych, co wpłynęło na obniżenie wyniku odsetkowego. Zakończenie cyklu obniżek stóp procentowych przez RPP i oczekiwania rynku na podwyżki stóp procentowych w przyszłości wskazują na to, że </w:t>
      </w:r>
      <w:r w:rsidRPr="00E218C6">
        <w:rPr>
          <w:rFonts w:ascii="Calibri" w:hAnsi="Calibri" w:cs="Arial"/>
          <w:b/>
          <w:bCs/>
          <w:sz w:val="22"/>
          <w:szCs w:val="22"/>
        </w:rPr>
        <w:t>wyniki banków są obecnie w okolicy swoich minimów</w:t>
      </w:r>
      <w:r w:rsidRPr="00731591">
        <w:rPr>
          <w:rFonts w:ascii="Calibri" w:hAnsi="Calibri" w:cs="Arial"/>
          <w:bCs/>
          <w:sz w:val="22"/>
          <w:szCs w:val="22"/>
        </w:rPr>
        <w:t>.</w:t>
      </w:r>
    </w:p>
    <w:p w:rsidR="00716AC1" w:rsidRPr="00731591" w:rsidRDefault="00716AC1" w:rsidP="00716AC1">
      <w:pPr>
        <w:ind w:left="-426"/>
        <w:jc w:val="both"/>
        <w:rPr>
          <w:rFonts w:ascii="Calibri" w:hAnsi="Calibri" w:cs="Arial"/>
          <w:bCs/>
          <w:sz w:val="22"/>
          <w:szCs w:val="22"/>
        </w:rPr>
      </w:pPr>
      <w:r w:rsidRPr="00731591">
        <w:rPr>
          <w:rFonts w:ascii="Calibri" w:hAnsi="Calibri" w:cs="Arial"/>
          <w:bCs/>
          <w:sz w:val="22"/>
          <w:szCs w:val="22"/>
        </w:rPr>
        <w:t xml:space="preserve">Większość banków spółdzielczych dynamicznie </w:t>
      </w:r>
      <w:r w:rsidRPr="00E218C6">
        <w:rPr>
          <w:rFonts w:ascii="Calibri" w:hAnsi="Calibri" w:cs="Arial"/>
          <w:bCs/>
          <w:sz w:val="22"/>
          <w:szCs w:val="22"/>
        </w:rPr>
        <w:t>rozwija akcje kredytową</w:t>
      </w:r>
      <w:r w:rsidRPr="00731591">
        <w:rPr>
          <w:rFonts w:ascii="Calibri" w:hAnsi="Calibri" w:cs="Arial"/>
          <w:bCs/>
          <w:sz w:val="22"/>
          <w:szCs w:val="22"/>
        </w:rPr>
        <w:t xml:space="preserve">. Jednocześnie </w:t>
      </w:r>
      <w:r w:rsidRPr="00E218C6">
        <w:rPr>
          <w:rFonts w:ascii="Calibri" w:hAnsi="Calibri" w:cs="Arial"/>
          <w:b/>
          <w:bCs/>
          <w:sz w:val="22"/>
          <w:szCs w:val="22"/>
        </w:rPr>
        <w:t>jakość portfela kredytowego pozostaje dobra</w:t>
      </w:r>
      <w:r w:rsidRPr="00731591">
        <w:rPr>
          <w:rFonts w:ascii="Calibri" w:hAnsi="Calibri" w:cs="Arial"/>
          <w:bCs/>
          <w:sz w:val="22"/>
          <w:szCs w:val="22"/>
        </w:rPr>
        <w:t>, choć od tego ogólnego obrazu niekorzystnie wyróżnia się kilka banków. Informacji na ten temat kredytów zagrożonych nie przedstawił Bank BPS. Natomiast szczególnie pozytywnie wyróżnia się Kujawski Bank Spółdzielczy (KBS Aleksandrów Kujawski), a dużą część portfela kredytowego tego banku stanowią kredyty preferencyjne dla rolników (ponad 44%). Ponadto należy zaznaczyć, że skala działalności tego banku jest mała.</w:t>
      </w:r>
    </w:p>
    <w:p w:rsidR="00716AC1" w:rsidRPr="00731591" w:rsidRDefault="00716AC1" w:rsidP="00716AC1">
      <w:pPr>
        <w:ind w:left="-426"/>
        <w:jc w:val="both"/>
        <w:rPr>
          <w:rFonts w:ascii="Calibri" w:hAnsi="Calibri" w:cs="Arial"/>
          <w:bCs/>
          <w:sz w:val="22"/>
          <w:szCs w:val="22"/>
        </w:rPr>
      </w:pPr>
      <w:r w:rsidRPr="00731591">
        <w:rPr>
          <w:rFonts w:ascii="Calibri" w:hAnsi="Calibri" w:cs="Arial"/>
          <w:bCs/>
          <w:sz w:val="22"/>
          <w:szCs w:val="22"/>
        </w:rPr>
        <w:t xml:space="preserve">Słabszy niż przed rokiem wynik na działalności bankowej w połączeniu ze wzrostem kosztów działania doprowadził do </w:t>
      </w:r>
      <w:r w:rsidRPr="00E218C6">
        <w:rPr>
          <w:rFonts w:ascii="Calibri" w:hAnsi="Calibri" w:cs="Arial"/>
          <w:b/>
          <w:bCs/>
          <w:sz w:val="22"/>
          <w:szCs w:val="22"/>
        </w:rPr>
        <w:t>obniżenia efektywności kosztowej banków spółdzielczych</w:t>
      </w:r>
      <w:r w:rsidRPr="00731591">
        <w:rPr>
          <w:rFonts w:ascii="Calibri" w:hAnsi="Calibri" w:cs="Arial"/>
          <w:bCs/>
          <w:sz w:val="22"/>
          <w:szCs w:val="22"/>
        </w:rPr>
        <w:t>. W dalszym ciągu szczególnie pozytywnie na tym tle wyróżnia się Bank Spółdzielczy w Ostrowi Mazowieckiej, którego relacja kosztów do dochodów (C/I) kształtuje się na poziomie 52,5%. Większość banków spółdzielczych ma jednak wskaźniki powyżej 70%, a najgorszy pod tym względem Orzesko Knurowski Bank Spółdzielczy w Knurowie ma C/I na poziomie blisko 97% przez co jest nieefektywny kosztowo.</w:t>
      </w:r>
    </w:p>
    <w:p w:rsidR="00716AC1" w:rsidRDefault="00716AC1" w:rsidP="00716AC1">
      <w:pPr>
        <w:ind w:left="-426"/>
        <w:jc w:val="both"/>
        <w:rPr>
          <w:rStyle w:val="Tytuksiki"/>
          <w:rFonts w:asciiTheme="majorHAnsi" w:eastAsiaTheme="majorEastAsia" w:hAnsiTheme="majorHAnsi" w:cstheme="majorBidi"/>
          <w:b w:val="0"/>
          <w:bCs w:val="0"/>
          <w:sz w:val="28"/>
          <w:szCs w:val="28"/>
        </w:rPr>
      </w:pPr>
      <w:r w:rsidRPr="00731591">
        <w:rPr>
          <w:rFonts w:ascii="Calibri" w:hAnsi="Calibri" w:cs="Arial"/>
          <w:bCs/>
          <w:sz w:val="22"/>
          <w:szCs w:val="22"/>
        </w:rPr>
        <w:t xml:space="preserve">Mediana współczynnika wypłacalności banków spółdzielczych jest poniżej wartości rekomendowanej przez KNF, ale na bezpiecznym poziomie. Wyraźnie </w:t>
      </w:r>
      <w:r w:rsidRPr="00E218C6">
        <w:rPr>
          <w:rFonts w:ascii="Calibri" w:hAnsi="Calibri" w:cs="Arial"/>
          <w:b/>
          <w:bCs/>
          <w:sz w:val="22"/>
          <w:szCs w:val="22"/>
        </w:rPr>
        <w:t xml:space="preserve">niższe wskaźniki </w:t>
      </w:r>
      <w:r w:rsidR="00E218C6" w:rsidRPr="00E218C6">
        <w:rPr>
          <w:rFonts w:ascii="Calibri" w:hAnsi="Calibri" w:cs="Arial"/>
          <w:b/>
          <w:bCs/>
          <w:sz w:val="22"/>
          <w:szCs w:val="22"/>
        </w:rPr>
        <w:t xml:space="preserve">wypłacalności </w:t>
      </w:r>
      <w:r w:rsidRPr="00E218C6">
        <w:rPr>
          <w:rFonts w:ascii="Calibri" w:hAnsi="Calibri" w:cs="Arial"/>
          <w:b/>
          <w:bCs/>
          <w:sz w:val="22"/>
          <w:szCs w:val="22"/>
        </w:rPr>
        <w:t>mają największe banki spółdzielcze</w:t>
      </w:r>
      <w:r w:rsidRPr="00731591">
        <w:rPr>
          <w:rFonts w:ascii="Calibri" w:hAnsi="Calibri" w:cs="Arial"/>
          <w:bCs/>
          <w:sz w:val="22"/>
          <w:szCs w:val="22"/>
        </w:rPr>
        <w:t>, które z reguły dynamicznie rozwijają się, co przekłada się na wzrost wymogu kapitałowego. Stosunkowo niski współczynnik wypłacalności ma Podkarpacki Bank Spółdzielczy, ale należy zaznaczyć, że dokonuje on starań zmierzających do poprawy tego wskaźnika. Tym nie mniej czynnik ten zaciążył na naszym wewnętrznym indeksie inwestycyjnym dla tego banku i wyniósł 4/10 wskazując na podwyższone ryzyko inwestycyjne. W tej grupie ryzyka znajduje się także: Bank BPS, SBR Szepietowo i Podlasko Mazurski Bank Spółdzielczy w Zabłudowie. Pozostali emitenci są sklasyfikowani z umiarkowanym ryzykiem.</w:t>
      </w:r>
      <w:r>
        <w:rPr>
          <w:rStyle w:val="Tytuksiki"/>
        </w:rPr>
        <w:br w:type="page"/>
      </w:r>
    </w:p>
    <w:sdt>
      <w:sdtPr>
        <w:rPr>
          <w:rFonts w:ascii="Times New Roman" w:eastAsia="Times New Roman" w:hAnsi="Times New Roman" w:cs="Times New Roman"/>
          <w:b w:val="0"/>
          <w:bCs w:val="0"/>
          <w:smallCaps/>
          <w:spacing w:val="5"/>
          <w:sz w:val="24"/>
          <w:szCs w:val="24"/>
          <w:lang w:eastAsia="pl-PL"/>
        </w:rPr>
        <w:id w:val="15998903"/>
        <w:docPartObj>
          <w:docPartGallery w:val="Table of Contents"/>
          <w:docPartUnique/>
        </w:docPartObj>
      </w:sdtPr>
      <w:sdtContent>
        <w:p w:rsidR="00636E50" w:rsidRPr="00A73B2B" w:rsidRDefault="00636E50" w:rsidP="007A5584">
          <w:pPr>
            <w:pStyle w:val="Nagwekspisutreci"/>
            <w:ind w:left="-426" w:right="242"/>
            <w:rPr>
              <w:rFonts w:cstheme="minorHAnsi"/>
              <w:sz w:val="22"/>
              <w:szCs w:val="22"/>
            </w:rPr>
          </w:pPr>
          <w:r w:rsidRPr="00A73B2B">
            <w:rPr>
              <w:rFonts w:cstheme="minorHAnsi"/>
              <w:sz w:val="22"/>
              <w:szCs w:val="22"/>
            </w:rPr>
            <w:t>Spis treści</w:t>
          </w:r>
        </w:p>
        <w:p w:rsidR="00DA6582" w:rsidRPr="00A73B2B" w:rsidRDefault="006B5E2F">
          <w:pPr>
            <w:pStyle w:val="Spistreci1"/>
            <w:tabs>
              <w:tab w:val="right" w:leader="dot" w:pos="10013"/>
            </w:tabs>
            <w:rPr>
              <w:rFonts w:asciiTheme="minorHAnsi" w:eastAsiaTheme="minorEastAsia" w:hAnsiTheme="minorHAnsi" w:cstheme="minorHAnsi"/>
              <w:noProof/>
              <w:sz w:val="22"/>
              <w:szCs w:val="22"/>
            </w:rPr>
          </w:pPr>
          <w:r w:rsidRPr="00A73B2B">
            <w:rPr>
              <w:rFonts w:asciiTheme="minorHAnsi" w:hAnsiTheme="minorHAnsi" w:cstheme="minorHAnsi"/>
              <w:sz w:val="22"/>
              <w:szCs w:val="22"/>
            </w:rPr>
            <w:fldChar w:fldCharType="begin"/>
          </w:r>
          <w:r w:rsidR="00636E50" w:rsidRPr="00A73B2B">
            <w:rPr>
              <w:rFonts w:asciiTheme="minorHAnsi" w:hAnsiTheme="minorHAnsi" w:cstheme="minorHAnsi"/>
              <w:sz w:val="22"/>
              <w:szCs w:val="22"/>
            </w:rPr>
            <w:instrText xml:space="preserve"> TOC \o "1-3" \h \z \u </w:instrText>
          </w:r>
          <w:r w:rsidRPr="00A73B2B">
            <w:rPr>
              <w:rFonts w:asciiTheme="minorHAnsi" w:hAnsiTheme="minorHAnsi" w:cstheme="minorHAnsi"/>
              <w:sz w:val="22"/>
              <w:szCs w:val="22"/>
            </w:rPr>
            <w:fldChar w:fldCharType="separate"/>
          </w:r>
          <w:hyperlink w:anchor="_Toc368572351" w:history="1">
            <w:r w:rsidR="00DA6582" w:rsidRPr="00A73B2B">
              <w:rPr>
                <w:rStyle w:val="Hipercze"/>
                <w:rFonts w:asciiTheme="minorHAnsi" w:hAnsiTheme="minorHAnsi" w:cstheme="minorHAnsi"/>
                <w:noProof/>
              </w:rPr>
              <w:t>BANK BPS</w:t>
            </w:r>
            <w:r w:rsidR="00DA6582" w:rsidRPr="00A73B2B">
              <w:rPr>
                <w:rFonts w:asciiTheme="minorHAnsi" w:hAnsiTheme="minorHAnsi" w:cstheme="minorHAnsi"/>
                <w:noProof/>
                <w:webHidden/>
              </w:rPr>
              <w:tab/>
            </w:r>
            <w:r w:rsidRPr="00A73B2B">
              <w:rPr>
                <w:rFonts w:asciiTheme="minorHAnsi" w:hAnsiTheme="minorHAnsi" w:cstheme="minorHAnsi"/>
                <w:noProof/>
                <w:webHidden/>
              </w:rPr>
              <w:fldChar w:fldCharType="begin"/>
            </w:r>
            <w:r w:rsidR="00DA6582" w:rsidRPr="00A73B2B">
              <w:rPr>
                <w:rFonts w:asciiTheme="minorHAnsi" w:hAnsiTheme="minorHAnsi" w:cstheme="minorHAnsi"/>
                <w:noProof/>
                <w:webHidden/>
              </w:rPr>
              <w:instrText xml:space="preserve"> PAGEREF _Toc368572351 \h </w:instrText>
            </w:r>
            <w:r w:rsidRPr="00A73B2B">
              <w:rPr>
                <w:rFonts w:asciiTheme="minorHAnsi" w:hAnsiTheme="minorHAnsi" w:cstheme="minorHAnsi"/>
                <w:noProof/>
                <w:webHidden/>
              </w:rPr>
            </w:r>
            <w:r w:rsidRPr="00A73B2B">
              <w:rPr>
                <w:rFonts w:asciiTheme="minorHAnsi" w:hAnsiTheme="minorHAnsi" w:cstheme="minorHAnsi"/>
                <w:noProof/>
                <w:webHidden/>
              </w:rPr>
              <w:fldChar w:fldCharType="separate"/>
            </w:r>
            <w:r w:rsidR="00A73B2B" w:rsidRPr="00A73B2B">
              <w:rPr>
                <w:rFonts w:asciiTheme="minorHAnsi" w:hAnsiTheme="minorHAnsi" w:cstheme="minorHAnsi"/>
                <w:noProof/>
                <w:webHidden/>
              </w:rPr>
              <w:t>3</w:t>
            </w:r>
            <w:r w:rsidRPr="00A73B2B">
              <w:rPr>
                <w:rFonts w:asciiTheme="minorHAnsi" w:hAnsiTheme="minorHAnsi" w:cstheme="minorHAnsi"/>
                <w:noProof/>
                <w:webHidden/>
              </w:rPr>
              <w:fldChar w:fldCharType="end"/>
            </w:r>
          </w:hyperlink>
        </w:p>
        <w:p w:rsidR="00DA6582" w:rsidRPr="00A73B2B" w:rsidRDefault="006B5E2F">
          <w:pPr>
            <w:pStyle w:val="Spistreci1"/>
            <w:tabs>
              <w:tab w:val="right" w:leader="dot" w:pos="10013"/>
            </w:tabs>
            <w:rPr>
              <w:rFonts w:asciiTheme="minorHAnsi" w:eastAsiaTheme="minorEastAsia" w:hAnsiTheme="minorHAnsi" w:cstheme="minorHAnsi"/>
              <w:noProof/>
              <w:sz w:val="22"/>
              <w:szCs w:val="22"/>
            </w:rPr>
          </w:pPr>
          <w:hyperlink w:anchor="_Toc368572352" w:history="1">
            <w:r w:rsidR="00DA6582" w:rsidRPr="00A73B2B">
              <w:rPr>
                <w:rStyle w:val="Hipercze"/>
                <w:rFonts w:asciiTheme="minorHAnsi" w:hAnsiTheme="minorHAnsi" w:cstheme="minorHAnsi"/>
                <w:noProof/>
              </w:rPr>
              <w:t>PODKARPACKI BANK SPÓŁDZIELCZY</w:t>
            </w:r>
            <w:r w:rsidR="00DA6582" w:rsidRPr="00A73B2B">
              <w:rPr>
                <w:rFonts w:asciiTheme="minorHAnsi" w:hAnsiTheme="minorHAnsi" w:cstheme="minorHAnsi"/>
                <w:noProof/>
                <w:webHidden/>
              </w:rPr>
              <w:tab/>
            </w:r>
            <w:r w:rsidRPr="00A73B2B">
              <w:rPr>
                <w:rFonts w:asciiTheme="minorHAnsi" w:hAnsiTheme="minorHAnsi" w:cstheme="minorHAnsi"/>
                <w:noProof/>
                <w:webHidden/>
              </w:rPr>
              <w:fldChar w:fldCharType="begin"/>
            </w:r>
            <w:r w:rsidR="00DA6582" w:rsidRPr="00A73B2B">
              <w:rPr>
                <w:rFonts w:asciiTheme="minorHAnsi" w:hAnsiTheme="minorHAnsi" w:cstheme="minorHAnsi"/>
                <w:noProof/>
                <w:webHidden/>
              </w:rPr>
              <w:instrText xml:space="preserve"> PAGEREF _Toc368572352 \h </w:instrText>
            </w:r>
            <w:r w:rsidRPr="00A73B2B">
              <w:rPr>
                <w:rFonts w:asciiTheme="minorHAnsi" w:hAnsiTheme="minorHAnsi" w:cstheme="minorHAnsi"/>
                <w:noProof/>
                <w:webHidden/>
              </w:rPr>
            </w:r>
            <w:r w:rsidRPr="00A73B2B">
              <w:rPr>
                <w:rFonts w:asciiTheme="minorHAnsi" w:hAnsiTheme="minorHAnsi" w:cstheme="minorHAnsi"/>
                <w:noProof/>
                <w:webHidden/>
              </w:rPr>
              <w:fldChar w:fldCharType="separate"/>
            </w:r>
            <w:r w:rsidR="00A73B2B" w:rsidRPr="00A73B2B">
              <w:rPr>
                <w:rFonts w:asciiTheme="minorHAnsi" w:hAnsiTheme="minorHAnsi" w:cstheme="minorHAnsi"/>
                <w:noProof/>
                <w:webHidden/>
              </w:rPr>
              <w:t>4</w:t>
            </w:r>
            <w:r w:rsidRPr="00A73B2B">
              <w:rPr>
                <w:rFonts w:asciiTheme="minorHAnsi" w:hAnsiTheme="minorHAnsi" w:cstheme="minorHAnsi"/>
                <w:noProof/>
                <w:webHidden/>
              </w:rPr>
              <w:fldChar w:fldCharType="end"/>
            </w:r>
          </w:hyperlink>
        </w:p>
        <w:p w:rsidR="00DA6582" w:rsidRPr="00A73B2B" w:rsidRDefault="006B5E2F">
          <w:pPr>
            <w:pStyle w:val="Spistreci1"/>
            <w:tabs>
              <w:tab w:val="right" w:leader="dot" w:pos="10013"/>
            </w:tabs>
            <w:rPr>
              <w:rFonts w:asciiTheme="minorHAnsi" w:eastAsiaTheme="minorEastAsia" w:hAnsiTheme="minorHAnsi" w:cstheme="minorHAnsi"/>
              <w:noProof/>
              <w:sz w:val="22"/>
              <w:szCs w:val="22"/>
            </w:rPr>
          </w:pPr>
          <w:hyperlink w:anchor="_Toc368572353" w:history="1">
            <w:r w:rsidR="00DA6582" w:rsidRPr="00A73B2B">
              <w:rPr>
                <w:rStyle w:val="Hipercze"/>
                <w:rFonts w:asciiTheme="minorHAnsi" w:hAnsiTheme="minorHAnsi" w:cstheme="minorHAnsi"/>
                <w:noProof/>
              </w:rPr>
              <w:t>SPÓŁDZIELCZY BANK ROZWOJU I RZEMIOSŁA W WOŁOMINIE (SK BANK)</w:t>
            </w:r>
            <w:r w:rsidR="00DA6582" w:rsidRPr="00A73B2B">
              <w:rPr>
                <w:rFonts w:asciiTheme="minorHAnsi" w:hAnsiTheme="minorHAnsi" w:cstheme="minorHAnsi"/>
                <w:noProof/>
                <w:webHidden/>
              </w:rPr>
              <w:tab/>
            </w:r>
            <w:r w:rsidRPr="00A73B2B">
              <w:rPr>
                <w:rFonts w:asciiTheme="minorHAnsi" w:hAnsiTheme="minorHAnsi" w:cstheme="minorHAnsi"/>
                <w:noProof/>
                <w:webHidden/>
              </w:rPr>
              <w:fldChar w:fldCharType="begin"/>
            </w:r>
            <w:r w:rsidR="00DA6582" w:rsidRPr="00A73B2B">
              <w:rPr>
                <w:rFonts w:asciiTheme="minorHAnsi" w:hAnsiTheme="minorHAnsi" w:cstheme="minorHAnsi"/>
                <w:noProof/>
                <w:webHidden/>
              </w:rPr>
              <w:instrText xml:space="preserve"> PAGEREF _Toc368572353 \h </w:instrText>
            </w:r>
            <w:r w:rsidRPr="00A73B2B">
              <w:rPr>
                <w:rFonts w:asciiTheme="minorHAnsi" w:hAnsiTheme="minorHAnsi" w:cstheme="minorHAnsi"/>
                <w:noProof/>
                <w:webHidden/>
              </w:rPr>
            </w:r>
            <w:r w:rsidRPr="00A73B2B">
              <w:rPr>
                <w:rFonts w:asciiTheme="minorHAnsi" w:hAnsiTheme="minorHAnsi" w:cstheme="minorHAnsi"/>
                <w:noProof/>
                <w:webHidden/>
              </w:rPr>
              <w:fldChar w:fldCharType="separate"/>
            </w:r>
            <w:r w:rsidR="00A73B2B" w:rsidRPr="00A73B2B">
              <w:rPr>
                <w:rFonts w:asciiTheme="minorHAnsi" w:hAnsiTheme="minorHAnsi" w:cstheme="minorHAnsi"/>
                <w:noProof/>
                <w:webHidden/>
              </w:rPr>
              <w:t>5</w:t>
            </w:r>
            <w:r w:rsidRPr="00A73B2B">
              <w:rPr>
                <w:rFonts w:asciiTheme="minorHAnsi" w:hAnsiTheme="minorHAnsi" w:cstheme="minorHAnsi"/>
                <w:noProof/>
                <w:webHidden/>
              </w:rPr>
              <w:fldChar w:fldCharType="end"/>
            </w:r>
          </w:hyperlink>
        </w:p>
        <w:p w:rsidR="00DA6582" w:rsidRPr="00A73B2B" w:rsidRDefault="006B5E2F">
          <w:pPr>
            <w:pStyle w:val="Spistreci1"/>
            <w:tabs>
              <w:tab w:val="right" w:leader="dot" w:pos="10013"/>
            </w:tabs>
            <w:rPr>
              <w:rFonts w:asciiTheme="minorHAnsi" w:eastAsiaTheme="minorEastAsia" w:hAnsiTheme="minorHAnsi" w:cstheme="minorHAnsi"/>
              <w:noProof/>
              <w:sz w:val="22"/>
              <w:szCs w:val="22"/>
            </w:rPr>
          </w:pPr>
          <w:hyperlink w:anchor="_Toc368572354" w:history="1">
            <w:r w:rsidR="00DA6582" w:rsidRPr="00A73B2B">
              <w:rPr>
                <w:rStyle w:val="Hipercze"/>
                <w:rFonts w:asciiTheme="minorHAnsi" w:hAnsiTheme="minorHAnsi" w:cstheme="minorHAnsi"/>
                <w:noProof/>
              </w:rPr>
              <w:t>KRAKOWSKI BANK SPÓŁDZIELCZY</w:t>
            </w:r>
            <w:r w:rsidR="00DA6582" w:rsidRPr="00A73B2B">
              <w:rPr>
                <w:rFonts w:asciiTheme="minorHAnsi" w:hAnsiTheme="minorHAnsi" w:cstheme="minorHAnsi"/>
                <w:noProof/>
                <w:webHidden/>
              </w:rPr>
              <w:tab/>
            </w:r>
            <w:r w:rsidRPr="00A73B2B">
              <w:rPr>
                <w:rFonts w:asciiTheme="minorHAnsi" w:hAnsiTheme="minorHAnsi" w:cstheme="minorHAnsi"/>
                <w:noProof/>
                <w:webHidden/>
              </w:rPr>
              <w:fldChar w:fldCharType="begin"/>
            </w:r>
            <w:r w:rsidR="00DA6582" w:rsidRPr="00A73B2B">
              <w:rPr>
                <w:rFonts w:asciiTheme="minorHAnsi" w:hAnsiTheme="minorHAnsi" w:cstheme="minorHAnsi"/>
                <w:noProof/>
                <w:webHidden/>
              </w:rPr>
              <w:instrText xml:space="preserve"> PAGEREF _Toc368572354 \h </w:instrText>
            </w:r>
            <w:r w:rsidRPr="00A73B2B">
              <w:rPr>
                <w:rFonts w:asciiTheme="minorHAnsi" w:hAnsiTheme="minorHAnsi" w:cstheme="minorHAnsi"/>
                <w:noProof/>
                <w:webHidden/>
              </w:rPr>
            </w:r>
            <w:r w:rsidRPr="00A73B2B">
              <w:rPr>
                <w:rFonts w:asciiTheme="minorHAnsi" w:hAnsiTheme="minorHAnsi" w:cstheme="minorHAnsi"/>
                <w:noProof/>
                <w:webHidden/>
              </w:rPr>
              <w:fldChar w:fldCharType="separate"/>
            </w:r>
            <w:r w:rsidR="00A73B2B" w:rsidRPr="00A73B2B">
              <w:rPr>
                <w:rFonts w:asciiTheme="minorHAnsi" w:hAnsiTheme="minorHAnsi" w:cstheme="minorHAnsi"/>
                <w:noProof/>
                <w:webHidden/>
              </w:rPr>
              <w:t>6</w:t>
            </w:r>
            <w:r w:rsidRPr="00A73B2B">
              <w:rPr>
                <w:rFonts w:asciiTheme="minorHAnsi" w:hAnsiTheme="minorHAnsi" w:cstheme="minorHAnsi"/>
                <w:noProof/>
                <w:webHidden/>
              </w:rPr>
              <w:fldChar w:fldCharType="end"/>
            </w:r>
          </w:hyperlink>
        </w:p>
        <w:p w:rsidR="00DA6582" w:rsidRPr="00A73B2B" w:rsidRDefault="006B5E2F">
          <w:pPr>
            <w:pStyle w:val="Spistreci1"/>
            <w:tabs>
              <w:tab w:val="right" w:leader="dot" w:pos="10013"/>
            </w:tabs>
            <w:rPr>
              <w:rFonts w:asciiTheme="minorHAnsi" w:eastAsiaTheme="minorEastAsia" w:hAnsiTheme="minorHAnsi" w:cstheme="minorHAnsi"/>
              <w:noProof/>
              <w:sz w:val="22"/>
              <w:szCs w:val="22"/>
            </w:rPr>
          </w:pPr>
          <w:hyperlink w:anchor="_Toc368572355" w:history="1">
            <w:r w:rsidR="00DA6582" w:rsidRPr="00A73B2B">
              <w:rPr>
                <w:rStyle w:val="Hipercze"/>
                <w:rFonts w:asciiTheme="minorHAnsi" w:hAnsiTheme="minorHAnsi" w:cstheme="minorHAnsi"/>
                <w:noProof/>
              </w:rPr>
              <w:t>POLSKI BANK SPÓŁDZIELCZY W CIECHANOWIE</w:t>
            </w:r>
            <w:r w:rsidR="00DA6582" w:rsidRPr="00A73B2B">
              <w:rPr>
                <w:rFonts w:asciiTheme="minorHAnsi" w:hAnsiTheme="minorHAnsi" w:cstheme="minorHAnsi"/>
                <w:noProof/>
                <w:webHidden/>
              </w:rPr>
              <w:tab/>
            </w:r>
            <w:r w:rsidRPr="00A73B2B">
              <w:rPr>
                <w:rFonts w:asciiTheme="minorHAnsi" w:hAnsiTheme="minorHAnsi" w:cstheme="minorHAnsi"/>
                <w:noProof/>
                <w:webHidden/>
              </w:rPr>
              <w:fldChar w:fldCharType="begin"/>
            </w:r>
            <w:r w:rsidR="00DA6582" w:rsidRPr="00A73B2B">
              <w:rPr>
                <w:rFonts w:asciiTheme="minorHAnsi" w:hAnsiTheme="minorHAnsi" w:cstheme="minorHAnsi"/>
                <w:noProof/>
                <w:webHidden/>
              </w:rPr>
              <w:instrText xml:space="preserve"> PAGEREF _Toc368572355 \h </w:instrText>
            </w:r>
            <w:r w:rsidRPr="00A73B2B">
              <w:rPr>
                <w:rFonts w:asciiTheme="minorHAnsi" w:hAnsiTheme="minorHAnsi" w:cstheme="minorHAnsi"/>
                <w:noProof/>
                <w:webHidden/>
              </w:rPr>
            </w:r>
            <w:r w:rsidRPr="00A73B2B">
              <w:rPr>
                <w:rFonts w:asciiTheme="minorHAnsi" w:hAnsiTheme="minorHAnsi" w:cstheme="minorHAnsi"/>
                <w:noProof/>
                <w:webHidden/>
              </w:rPr>
              <w:fldChar w:fldCharType="separate"/>
            </w:r>
            <w:r w:rsidR="00A73B2B" w:rsidRPr="00A73B2B">
              <w:rPr>
                <w:rFonts w:asciiTheme="minorHAnsi" w:hAnsiTheme="minorHAnsi" w:cstheme="minorHAnsi"/>
                <w:noProof/>
                <w:webHidden/>
              </w:rPr>
              <w:t>7</w:t>
            </w:r>
            <w:r w:rsidRPr="00A73B2B">
              <w:rPr>
                <w:rFonts w:asciiTheme="minorHAnsi" w:hAnsiTheme="minorHAnsi" w:cstheme="minorHAnsi"/>
                <w:noProof/>
                <w:webHidden/>
              </w:rPr>
              <w:fldChar w:fldCharType="end"/>
            </w:r>
          </w:hyperlink>
        </w:p>
        <w:p w:rsidR="00DA6582" w:rsidRPr="00A73B2B" w:rsidRDefault="006B5E2F">
          <w:pPr>
            <w:pStyle w:val="Spistreci1"/>
            <w:tabs>
              <w:tab w:val="right" w:leader="dot" w:pos="10013"/>
            </w:tabs>
            <w:rPr>
              <w:rFonts w:asciiTheme="minorHAnsi" w:eastAsiaTheme="minorEastAsia" w:hAnsiTheme="minorHAnsi" w:cstheme="minorHAnsi"/>
              <w:noProof/>
              <w:sz w:val="22"/>
              <w:szCs w:val="22"/>
            </w:rPr>
          </w:pPr>
          <w:hyperlink w:anchor="_Toc368572356" w:history="1">
            <w:r w:rsidR="00DA6582" w:rsidRPr="00A73B2B">
              <w:rPr>
                <w:rStyle w:val="Hipercze"/>
                <w:rFonts w:asciiTheme="minorHAnsi" w:hAnsiTheme="minorHAnsi" w:cstheme="minorHAnsi"/>
                <w:noProof/>
              </w:rPr>
              <w:t>BANK SPÓŁDZIELCZY BIAŁA RAWSKA</w:t>
            </w:r>
            <w:r w:rsidR="00DA6582" w:rsidRPr="00A73B2B">
              <w:rPr>
                <w:rFonts w:asciiTheme="minorHAnsi" w:hAnsiTheme="minorHAnsi" w:cstheme="minorHAnsi"/>
                <w:noProof/>
                <w:webHidden/>
              </w:rPr>
              <w:tab/>
            </w:r>
            <w:r w:rsidRPr="00A73B2B">
              <w:rPr>
                <w:rFonts w:asciiTheme="minorHAnsi" w:hAnsiTheme="minorHAnsi" w:cstheme="minorHAnsi"/>
                <w:noProof/>
                <w:webHidden/>
              </w:rPr>
              <w:fldChar w:fldCharType="begin"/>
            </w:r>
            <w:r w:rsidR="00DA6582" w:rsidRPr="00A73B2B">
              <w:rPr>
                <w:rFonts w:asciiTheme="minorHAnsi" w:hAnsiTheme="minorHAnsi" w:cstheme="minorHAnsi"/>
                <w:noProof/>
                <w:webHidden/>
              </w:rPr>
              <w:instrText xml:space="preserve"> PAGEREF _Toc368572356 \h </w:instrText>
            </w:r>
            <w:r w:rsidRPr="00A73B2B">
              <w:rPr>
                <w:rFonts w:asciiTheme="minorHAnsi" w:hAnsiTheme="minorHAnsi" w:cstheme="minorHAnsi"/>
                <w:noProof/>
                <w:webHidden/>
              </w:rPr>
            </w:r>
            <w:r w:rsidRPr="00A73B2B">
              <w:rPr>
                <w:rFonts w:asciiTheme="minorHAnsi" w:hAnsiTheme="minorHAnsi" w:cstheme="minorHAnsi"/>
                <w:noProof/>
                <w:webHidden/>
              </w:rPr>
              <w:fldChar w:fldCharType="separate"/>
            </w:r>
            <w:r w:rsidR="00A73B2B" w:rsidRPr="00A73B2B">
              <w:rPr>
                <w:rFonts w:asciiTheme="minorHAnsi" w:hAnsiTheme="minorHAnsi" w:cstheme="minorHAnsi"/>
                <w:noProof/>
                <w:webHidden/>
              </w:rPr>
              <w:t>8</w:t>
            </w:r>
            <w:r w:rsidRPr="00A73B2B">
              <w:rPr>
                <w:rFonts w:asciiTheme="minorHAnsi" w:hAnsiTheme="minorHAnsi" w:cstheme="minorHAnsi"/>
                <w:noProof/>
                <w:webHidden/>
              </w:rPr>
              <w:fldChar w:fldCharType="end"/>
            </w:r>
          </w:hyperlink>
        </w:p>
        <w:p w:rsidR="00DA6582" w:rsidRPr="00A73B2B" w:rsidRDefault="006B5E2F">
          <w:pPr>
            <w:pStyle w:val="Spistreci1"/>
            <w:tabs>
              <w:tab w:val="right" w:leader="dot" w:pos="10013"/>
            </w:tabs>
            <w:rPr>
              <w:rFonts w:asciiTheme="minorHAnsi" w:eastAsiaTheme="minorEastAsia" w:hAnsiTheme="minorHAnsi" w:cstheme="minorHAnsi"/>
              <w:noProof/>
              <w:sz w:val="22"/>
              <w:szCs w:val="22"/>
            </w:rPr>
          </w:pPr>
          <w:hyperlink w:anchor="_Toc368572357" w:history="1">
            <w:r w:rsidR="00DA6582" w:rsidRPr="00A73B2B">
              <w:rPr>
                <w:rStyle w:val="Hipercze"/>
                <w:rFonts w:asciiTheme="minorHAnsi" w:hAnsiTheme="minorHAnsi" w:cstheme="minorHAnsi"/>
                <w:noProof/>
              </w:rPr>
              <w:t>BANK SPÓŁDZIELCZY W OSTROWI MAZOWIECKIEJ</w:t>
            </w:r>
            <w:r w:rsidR="00DA6582" w:rsidRPr="00A73B2B">
              <w:rPr>
                <w:rFonts w:asciiTheme="minorHAnsi" w:hAnsiTheme="minorHAnsi" w:cstheme="minorHAnsi"/>
                <w:noProof/>
                <w:webHidden/>
              </w:rPr>
              <w:tab/>
            </w:r>
            <w:r w:rsidRPr="00A73B2B">
              <w:rPr>
                <w:rFonts w:asciiTheme="minorHAnsi" w:hAnsiTheme="minorHAnsi" w:cstheme="minorHAnsi"/>
                <w:noProof/>
                <w:webHidden/>
              </w:rPr>
              <w:fldChar w:fldCharType="begin"/>
            </w:r>
            <w:r w:rsidR="00DA6582" w:rsidRPr="00A73B2B">
              <w:rPr>
                <w:rFonts w:asciiTheme="minorHAnsi" w:hAnsiTheme="minorHAnsi" w:cstheme="minorHAnsi"/>
                <w:noProof/>
                <w:webHidden/>
              </w:rPr>
              <w:instrText xml:space="preserve"> PAGEREF _Toc368572357 \h </w:instrText>
            </w:r>
            <w:r w:rsidRPr="00A73B2B">
              <w:rPr>
                <w:rFonts w:asciiTheme="minorHAnsi" w:hAnsiTheme="minorHAnsi" w:cstheme="minorHAnsi"/>
                <w:noProof/>
                <w:webHidden/>
              </w:rPr>
            </w:r>
            <w:r w:rsidRPr="00A73B2B">
              <w:rPr>
                <w:rFonts w:asciiTheme="minorHAnsi" w:hAnsiTheme="minorHAnsi" w:cstheme="minorHAnsi"/>
                <w:noProof/>
                <w:webHidden/>
              </w:rPr>
              <w:fldChar w:fldCharType="separate"/>
            </w:r>
            <w:r w:rsidR="00A73B2B" w:rsidRPr="00A73B2B">
              <w:rPr>
                <w:rFonts w:asciiTheme="minorHAnsi" w:hAnsiTheme="minorHAnsi" w:cstheme="minorHAnsi"/>
                <w:noProof/>
                <w:webHidden/>
              </w:rPr>
              <w:t>9</w:t>
            </w:r>
            <w:r w:rsidRPr="00A73B2B">
              <w:rPr>
                <w:rFonts w:asciiTheme="minorHAnsi" w:hAnsiTheme="minorHAnsi" w:cstheme="minorHAnsi"/>
                <w:noProof/>
                <w:webHidden/>
              </w:rPr>
              <w:fldChar w:fldCharType="end"/>
            </w:r>
          </w:hyperlink>
        </w:p>
        <w:p w:rsidR="00DA6582" w:rsidRPr="00A73B2B" w:rsidRDefault="006B5E2F">
          <w:pPr>
            <w:pStyle w:val="Spistreci1"/>
            <w:tabs>
              <w:tab w:val="right" w:leader="dot" w:pos="10013"/>
            </w:tabs>
            <w:rPr>
              <w:rFonts w:asciiTheme="minorHAnsi" w:eastAsiaTheme="minorEastAsia" w:hAnsiTheme="minorHAnsi" w:cstheme="minorHAnsi"/>
              <w:noProof/>
              <w:sz w:val="22"/>
              <w:szCs w:val="22"/>
            </w:rPr>
          </w:pPr>
          <w:hyperlink w:anchor="_Toc368572358" w:history="1">
            <w:r w:rsidR="00DA6582" w:rsidRPr="00A73B2B">
              <w:rPr>
                <w:rStyle w:val="Hipercze"/>
                <w:rFonts w:asciiTheme="minorHAnsi" w:hAnsiTheme="minorHAnsi" w:cstheme="minorHAnsi"/>
                <w:noProof/>
              </w:rPr>
              <w:t>BANK SPÓŁDZIELCZY W PIASECZNIE</w:t>
            </w:r>
            <w:r w:rsidR="00DA6582" w:rsidRPr="00A73B2B">
              <w:rPr>
                <w:rFonts w:asciiTheme="minorHAnsi" w:hAnsiTheme="minorHAnsi" w:cstheme="minorHAnsi"/>
                <w:noProof/>
                <w:webHidden/>
              </w:rPr>
              <w:tab/>
            </w:r>
            <w:r w:rsidRPr="00A73B2B">
              <w:rPr>
                <w:rFonts w:asciiTheme="minorHAnsi" w:hAnsiTheme="minorHAnsi" w:cstheme="minorHAnsi"/>
                <w:noProof/>
                <w:webHidden/>
              </w:rPr>
              <w:fldChar w:fldCharType="begin"/>
            </w:r>
            <w:r w:rsidR="00DA6582" w:rsidRPr="00A73B2B">
              <w:rPr>
                <w:rFonts w:asciiTheme="minorHAnsi" w:hAnsiTheme="minorHAnsi" w:cstheme="minorHAnsi"/>
                <w:noProof/>
                <w:webHidden/>
              </w:rPr>
              <w:instrText xml:space="preserve"> PAGEREF _Toc368572358 \h </w:instrText>
            </w:r>
            <w:r w:rsidRPr="00A73B2B">
              <w:rPr>
                <w:rFonts w:asciiTheme="minorHAnsi" w:hAnsiTheme="minorHAnsi" w:cstheme="minorHAnsi"/>
                <w:noProof/>
                <w:webHidden/>
              </w:rPr>
            </w:r>
            <w:r w:rsidRPr="00A73B2B">
              <w:rPr>
                <w:rFonts w:asciiTheme="minorHAnsi" w:hAnsiTheme="minorHAnsi" w:cstheme="minorHAnsi"/>
                <w:noProof/>
                <w:webHidden/>
              </w:rPr>
              <w:fldChar w:fldCharType="separate"/>
            </w:r>
            <w:r w:rsidR="00A73B2B" w:rsidRPr="00A73B2B">
              <w:rPr>
                <w:rFonts w:asciiTheme="minorHAnsi" w:hAnsiTheme="minorHAnsi" w:cstheme="minorHAnsi"/>
                <w:noProof/>
                <w:webHidden/>
              </w:rPr>
              <w:t>10</w:t>
            </w:r>
            <w:r w:rsidRPr="00A73B2B">
              <w:rPr>
                <w:rFonts w:asciiTheme="minorHAnsi" w:hAnsiTheme="minorHAnsi" w:cstheme="minorHAnsi"/>
                <w:noProof/>
                <w:webHidden/>
              </w:rPr>
              <w:fldChar w:fldCharType="end"/>
            </w:r>
          </w:hyperlink>
        </w:p>
        <w:p w:rsidR="00DA6582" w:rsidRPr="00A73B2B" w:rsidRDefault="006B5E2F">
          <w:pPr>
            <w:pStyle w:val="Spistreci1"/>
            <w:tabs>
              <w:tab w:val="right" w:leader="dot" w:pos="10013"/>
            </w:tabs>
            <w:rPr>
              <w:rFonts w:asciiTheme="minorHAnsi" w:eastAsiaTheme="minorEastAsia" w:hAnsiTheme="minorHAnsi" w:cstheme="minorHAnsi"/>
              <w:noProof/>
              <w:sz w:val="22"/>
              <w:szCs w:val="22"/>
            </w:rPr>
          </w:pPr>
          <w:hyperlink w:anchor="_Toc368572359" w:history="1">
            <w:r w:rsidR="00DA6582" w:rsidRPr="00A73B2B">
              <w:rPr>
                <w:rStyle w:val="Hipercze"/>
                <w:rFonts w:asciiTheme="minorHAnsi" w:hAnsiTheme="minorHAnsi" w:cstheme="minorHAnsi"/>
                <w:noProof/>
              </w:rPr>
              <w:t>BANK SPÓŁDZIELCZY W SKIERNIEWICACH</w:t>
            </w:r>
            <w:r w:rsidR="00DA6582" w:rsidRPr="00A73B2B">
              <w:rPr>
                <w:rFonts w:asciiTheme="minorHAnsi" w:hAnsiTheme="minorHAnsi" w:cstheme="minorHAnsi"/>
                <w:noProof/>
                <w:webHidden/>
              </w:rPr>
              <w:tab/>
            </w:r>
            <w:r w:rsidRPr="00A73B2B">
              <w:rPr>
                <w:rFonts w:asciiTheme="minorHAnsi" w:hAnsiTheme="minorHAnsi" w:cstheme="minorHAnsi"/>
                <w:noProof/>
                <w:webHidden/>
              </w:rPr>
              <w:fldChar w:fldCharType="begin"/>
            </w:r>
            <w:r w:rsidR="00DA6582" w:rsidRPr="00A73B2B">
              <w:rPr>
                <w:rFonts w:asciiTheme="minorHAnsi" w:hAnsiTheme="minorHAnsi" w:cstheme="minorHAnsi"/>
                <w:noProof/>
                <w:webHidden/>
              </w:rPr>
              <w:instrText xml:space="preserve"> PAGEREF _Toc368572359 \h </w:instrText>
            </w:r>
            <w:r w:rsidRPr="00A73B2B">
              <w:rPr>
                <w:rFonts w:asciiTheme="minorHAnsi" w:hAnsiTheme="minorHAnsi" w:cstheme="minorHAnsi"/>
                <w:noProof/>
                <w:webHidden/>
              </w:rPr>
            </w:r>
            <w:r w:rsidRPr="00A73B2B">
              <w:rPr>
                <w:rFonts w:asciiTheme="minorHAnsi" w:hAnsiTheme="minorHAnsi" w:cstheme="minorHAnsi"/>
                <w:noProof/>
                <w:webHidden/>
              </w:rPr>
              <w:fldChar w:fldCharType="separate"/>
            </w:r>
            <w:r w:rsidR="00A73B2B" w:rsidRPr="00A73B2B">
              <w:rPr>
                <w:rFonts w:asciiTheme="minorHAnsi" w:hAnsiTheme="minorHAnsi" w:cstheme="minorHAnsi"/>
                <w:noProof/>
                <w:webHidden/>
              </w:rPr>
              <w:t>11</w:t>
            </w:r>
            <w:r w:rsidRPr="00A73B2B">
              <w:rPr>
                <w:rFonts w:asciiTheme="minorHAnsi" w:hAnsiTheme="minorHAnsi" w:cstheme="minorHAnsi"/>
                <w:noProof/>
                <w:webHidden/>
              </w:rPr>
              <w:fldChar w:fldCharType="end"/>
            </w:r>
          </w:hyperlink>
        </w:p>
        <w:p w:rsidR="00DA6582" w:rsidRPr="00A73B2B" w:rsidRDefault="006B5E2F">
          <w:pPr>
            <w:pStyle w:val="Spistreci1"/>
            <w:tabs>
              <w:tab w:val="right" w:leader="dot" w:pos="10013"/>
            </w:tabs>
            <w:rPr>
              <w:rFonts w:asciiTheme="minorHAnsi" w:eastAsiaTheme="minorEastAsia" w:hAnsiTheme="minorHAnsi" w:cstheme="minorHAnsi"/>
              <w:noProof/>
              <w:sz w:val="22"/>
              <w:szCs w:val="22"/>
            </w:rPr>
          </w:pPr>
          <w:hyperlink w:anchor="_Toc368572360" w:history="1">
            <w:r w:rsidR="00DA6582" w:rsidRPr="00A73B2B">
              <w:rPr>
                <w:rStyle w:val="Hipercze"/>
                <w:rFonts w:asciiTheme="minorHAnsi" w:hAnsiTheme="minorHAnsi" w:cstheme="minorHAnsi"/>
                <w:noProof/>
              </w:rPr>
              <w:t>BANK SPÓŁDZIELCZY W PŁOŃSKU</w:t>
            </w:r>
            <w:r w:rsidR="00DA6582" w:rsidRPr="00A73B2B">
              <w:rPr>
                <w:rFonts w:asciiTheme="minorHAnsi" w:hAnsiTheme="minorHAnsi" w:cstheme="minorHAnsi"/>
                <w:noProof/>
                <w:webHidden/>
              </w:rPr>
              <w:tab/>
            </w:r>
            <w:r w:rsidRPr="00A73B2B">
              <w:rPr>
                <w:rFonts w:asciiTheme="minorHAnsi" w:hAnsiTheme="minorHAnsi" w:cstheme="minorHAnsi"/>
                <w:noProof/>
                <w:webHidden/>
              </w:rPr>
              <w:fldChar w:fldCharType="begin"/>
            </w:r>
            <w:r w:rsidR="00DA6582" w:rsidRPr="00A73B2B">
              <w:rPr>
                <w:rFonts w:asciiTheme="minorHAnsi" w:hAnsiTheme="minorHAnsi" w:cstheme="minorHAnsi"/>
                <w:noProof/>
                <w:webHidden/>
              </w:rPr>
              <w:instrText xml:space="preserve"> PAGEREF _Toc368572360 \h </w:instrText>
            </w:r>
            <w:r w:rsidRPr="00A73B2B">
              <w:rPr>
                <w:rFonts w:asciiTheme="minorHAnsi" w:hAnsiTheme="minorHAnsi" w:cstheme="minorHAnsi"/>
                <w:noProof/>
                <w:webHidden/>
              </w:rPr>
            </w:r>
            <w:r w:rsidRPr="00A73B2B">
              <w:rPr>
                <w:rFonts w:asciiTheme="minorHAnsi" w:hAnsiTheme="minorHAnsi" w:cstheme="minorHAnsi"/>
                <w:noProof/>
                <w:webHidden/>
              </w:rPr>
              <w:fldChar w:fldCharType="separate"/>
            </w:r>
            <w:r w:rsidR="00A73B2B" w:rsidRPr="00A73B2B">
              <w:rPr>
                <w:rFonts w:asciiTheme="minorHAnsi" w:hAnsiTheme="minorHAnsi" w:cstheme="minorHAnsi"/>
                <w:noProof/>
                <w:webHidden/>
              </w:rPr>
              <w:t>12</w:t>
            </w:r>
            <w:r w:rsidRPr="00A73B2B">
              <w:rPr>
                <w:rFonts w:asciiTheme="minorHAnsi" w:hAnsiTheme="minorHAnsi" w:cstheme="minorHAnsi"/>
                <w:noProof/>
                <w:webHidden/>
              </w:rPr>
              <w:fldChar w:fldCharType="end"/>
            </w:r>
          </w:hyperlink>
        </w:p>
        <w:p w:rsidR="00DA6582" w:rsidRPr="00A73B2B" w:rsidRDefault="006B5E2F">
          <w:pPr>
            <w:pStyle w:val="Spistreci1"/>
            <w:tabs>
              <w:tab w:val="right" w:leader="dot" w:pos="10013"/>
            </w:tabs>
            <w:rPr>
              <w:rFonts w:asciiTheme="minorHAnsi" w:eastAsiaTheme="minorEastAsia" w:hAnsiTheme="minorHAnsi" w:cstheme="minorHAnsi"/>
              <w:noProof/>
              <w:sz w:val="22"/>
              <w:szCs w:val="22"/>
            </w:rPr>
          </w:pPr>
          <w:hyperlink w:anchor="_Toc368572361" w:history="1">
            <w:r w:rsidR="00DA6582" w:rsidRPr="00A73B2B">
              <w:rPr>
                <w:rStyle w:val="Hipercze"/>
                <w:rFonts w:asciiTheme="minorHAnsi" w:hAnsiTheme="minorHAnsi" w:cstheme="minorHAnsi"/>
                <w:noProof/>
              </w:rPr>
              <w:t>WARSZAWSKI BANK SPÓŁDZIELCZY</w:t>
            </w:r>
            <w:r w:rsidR="00DA6582" w:rsidRPr="00A73B2B">
              <w:rPr>
                <w:rFonts w:asciiTheme="minorHAnsi" w:hAnsiTheme="minorHAnsi" w:cstheme="minorHAnsi"/>
                <w:noProof/>
                <w:webHidden/>
              </w:rPr>
              <w:tab/>
            </w:r>
            <w:r w:rsidRPr="00A73B2B">
              <w:rPr>
                <w:rFonts w:asciiTheme="minorHAnsi" w:hAnsiTheme="minorHAnsi" w:cstheme="minorHAnsi"/>
                <w:noProof/>
                <w:webHidden/>
              </w:rPr>
              <w:fldChar w:fldCharType="begin"/>
            </w:r>
            <w:r w:rsidR="00DA6582" w:rsidRPr="00A73B2B">
              <w:rPr>
                <w:rFonts w:asciiTheme="minorHAnsi" w:hAnsiTheme="minorHAnsi" w:cstheme="minorHAnsi"/>
                <w:noProof/>
                <w:webHidden/>
              </w:rPr>
              <w:instrText xml:space="preserve"> PAGEREF _Toc368572361 \h </w:instrText>
            </w:r>
            <w:r w:rsidRPr="00A73B2B">
              <w:rPr>
                <w:rFonts w:asciiTheme="minorHAnsi" w:hAnsiTheme="minorHAnsi" w:cstheme="minorHAnsi"/>
                <w:noProof/>
                <w:webHidden/>
              </w:rPr>
            </w:r>
            <w:r w:rsidRPr="00A73B2B">
              <w:rPr>
                <w:rFonts w:asciiTheme="minorHAnsi" w:hAnsiTheme="minorHAnsi" w:cstheme="minorHAnsi"/>
                <w:noProof/>
                <w:webHidden/>
              </w:rPr>
              <w:fldChar w:fldCharType="separate"/>
            </w:r>
            <w:r w:rsidR="00A73B2B" w:rsidRPr="00A73B2B">
              <w:rPr>
                <w:rFonts w:asciiTheme="minorHAnsi" w:hAnsiTheme="minorHAnsi" w:cstheme="minorHAnsi"/>
                <w:noProof/>
                <w:webHidden/>
              </w:rPr>
              <w:t>13</w:t>
            </w:r>
            <w:r w:rsidRPr="00A73B2B">
              <w:rPr>
                <w:rFonts w:asciiTheme="minorHAnsi" w:hAnsiTheme="minorHAnsi" w:cstheme="minorHAnsi"/>
                <w:noProof/>
                <w:webHidden/>
              </w:rPr>
              <w:fldChar w:fldCharType="end"/>
            </w:r>
          </w:hyperlink>
        </w:p>
        <w:p w:rsidR="00DA6582" w:rsidRPr="00A73B2B" w:rsidRDefault="006B5E2F">
          <w:pPr>
            <w:pStyle w:val="Spistreci1"/>
            <w:tabs>
              <w:tab w:val="right" w:leader="dot" w:pos="10013"/>
            </w:tabs>
            <w:rPr>
              <w:rFonts w:asciiTheme="minorHAnsi" w:eastAsiaTheme="minorEastAsia" w:hAnsiTheme="minorHAnsi" w:cstheme="minorHAnsi"/>
              <w:noProof/>
              <w:sz w:val="22"/>
              <w:szCs w:val="22"/>
            </w:rPr>
          </w:pPr>
          <w:hyperlink w:anchor="_Toc368572362" w:history="1">
            <w:r w:rsidR="00DA6582" w:rsidRPr="00A73B2B">
              <w:rPr>
                <w:rStyle w:val="Hipercze"/>
                <w:rFonts w:asciiTheme="minorHAnsi" w:hAnsiTheme="minorHAnsi" w:cstheme="minorHAnsi"/>
                <w:noProof/>
                <w:lang w:val="en-US"/>
              </w:rPr>
              <w:t>HEXABANK</w:t>
            </w:r>
            <w:r w:rsidR="00DA6582" w:rsidRPr="00A73B2B">
              <w:rPr>
                <w:rFonts w:asciiTheme="minorHAnsi" w:hAnsiTheme="minorHAnsi" w:cstheme="minorHAnsi"/>
                <w:noProof/>
                <w:webHidden/>
              </w:rPr>
              <w:tab/>
            </w:r>
            <w:r w:rsidRPr="00A73B2B">
              <w:rPr>
                <w:rFonts w:asciiTheme="minorHAnsi" w:hAnsiTheme="minorHAnsi" w:cstheme="minorHAnsi"/>
                <w:noProof/>
                <w:webHidden/>
              </w:rPr>
              <w:fldChar w:fldCharType="begin"/>
            </w:r>
            <w:r w:rsidR="00DA6582" w:rsidRPr="00A73B2B">
              <w:rPr>
                <w:rFonts w:asciiTheme="minorHAnsi" w:hAnsiTheme="minorHAnsi" w:cstheme="minorHAnsi"/>
                <w:noProof/>
                <w:webHidden/>
              </w:rPr>
              <w:instrText xml:space="preserve"> PAGEREF _Toc368572362 \h </w:instrText>
            </w:r>
            <w:r w:rsidRPr="00A73B2B">
              <w:rPr>
                <w:rFonts w:asciiTheme="minorHAnsi" w:hAnsiTheme="minorHAnsi" w:cstheme="minorHAnsi"/>
                <w:noProof/>
                <w:webHidden/>
              </w:rPr>
            </w:r>
            <w:r w:rsidRPr="00A73B2B">
              <w:rPr>
                <w:rFonts w:asciiTheme="minorHAnsi" w:hAnsiTheme="minorHAnsi" w:cstheme="minorHAnsi"/>
                <w:noProof/>
                <w:webHidden/>
              </w:rPr>
              <w:fldChar w:fldCharType="separate"/>
            </w:r>
            <w:r w:rsidR="00A73B2B" w:rsidRPr="00A73B2B">
              <w:rPr>
                <w:rFonts w:asciiTheme="minorHAnsi" w:hAnsiTheme="minorHAnsi" w:cstheme="minorHAnsi"/>
                <w:noProof/>
                <w:webHidden/>
              </w:rPr>
              <w:t>14</w:t>
            </w:r>
            <w:r w:rsidRPr="00A73B2B">
              <w:rPr>
                <w:rFonts w:asciiTheme="minorHAnsi" w:hAnsiTheme="minorHAnsi" w:cstheme="minorHAnsi"/>
                <w:noProof/>
                <w:webHidden/>
              </w:rPr>
              <w:fldChar w:fldCharType="end"/>
            </w:r>
          </w:hyperlink>
        </w:p>
        <w:p w:rsidR="00DA6582" w:rsidRPr="00A73B2B" w:rsidRDefault="006B5E2F">
          <w:pPr>
            <w:pStyle w:val="Spistreci1"/>
            <w:tabs>
              <w:tab w:val="right" w:leader="dot" w:pos="10013"/>
            </w:tabs>
            <w:rPr>
              <w:rFonts w:asciiTheme="minorHAnsi" w:eastAsiaTheme="minorEastAsia" w:hAnsiTheme="minorHAnsi" w:cstheme="minorHAnsi"/>
              <w:noProof/>
              <w:sz w:val="22"/>
              <w:szCs w:val="22"/>
            </w:rPr>
          </w:pPr>
          <w:hyperlink w:anchor="_Toc368572363" w:history="1">
            <w:r w:rsidR="00DA6582" w:rsidRPr="00A73B2B">
              <w:rPr>
                <w:rStyle w:val="Hipercze"/>
                <w:rFonts w:asciiTheme="minorHAnsi" w:hAnsiTheme="minorHAnsi" w:cstheme="minorHAnsi"/>
                <w:noProof/>
              </w:rPr>
              <w:t>ESBANK RADOMSKO</w:t>
            </w:r>
            <w:r w:rsidR="00DA6582" w:rsidRPr="00A73B2B">
              <w:rPr>
                <w:rFonts w:asciiTheme="minorHAnsi" w:hAnsiTheme="minorHAnsi" w:cstheme="minorHAnsi"/>
                <w:noProof/>
                <w:webHidden/>
              </w:rPr>
              <w:tab/>
            </w:r>
            <w:r w:rsidRPr="00A73B2B">
              <w:rPr>
                <w:rFonts w:asciiTheme="minorHAnsi" w:hAnsiTheme="minorHAnsi" w:cstheme="minorHAnsi"/>
                <w:noProof/>
                <w:webHidden/>
              </w:rPr>
              <w:fldChar w:fldCharType="begin"/>
            </w:r>
            <w:r w:rsidR="00DA6582" w:rsidRPr="00A73B2B">
              <w:rPr>
                <w:rFonts w:asciiTheme="minorHAnsi" w:hAnsiTheme="minorHAnsi" w:cstheme="minorHAnsi"/>
                <w:noProof/>
                <w:webHidden/>
              </w:rPr>
              <w:instrText xml:space="preserve"> PAGEREF _Toc368572363 \h </w:instrText>
            </w:r>
            <w:r w:rsidRPr="00A73B2B">
              <w:rPr>
                <w:rFonts w:asciiTheme="minorHAnsi" w:hAnsiTheme="minorHAnsi" w:cstheme="minorHAnsi"/>
                <w:noProof/>
                <w:webHidden/>
              </w:rPr>
            </w:r>
            <w:r w:rsidRPr="00A73B2B">
              <w:rPr>
                <w:rFonts w:asciiTheme="minorHAnsi" w:hAnsiTheme="minorHAnsi" w:cstheme="minorHAnsi"/>
                <w:noProof/>
                <w:webHidden/>
              </w:rPr>
              <w:fldChar w:fldCharType="separate"/>
            </w:r>
            <w:r w:rsidR="00A73B2B" w:rsidRPr="00A73B2B">
              <w:rPr>
                <w:rFonts w:asciiTheme="minorHAnsi" w:hAnsiTheme="minorHAnsi" w:cstheme="minorHAnsi"/>
                <w:noProof/>
                <w:webHidden/>
              </w:rPr>
              <w:t>15</w:t>
            </w:r>
            <w:r w:rsidRPr="00A73B2B">
              <w:rPr>
                <w:rFonts w:asciiTheme="minorHAnsi" w:hAnsiTheme="minorHAnsi" w:cstheme="minorHAnsi"/>
                <w:noProof/>
                <w:webHidden/>
              </w:rPr>
              <w:fldChar w:fldCharType="end"/>
            </w:r>
          </w:hyperlink>
        </w:p>
        <w:p w:rsidR="00DA6582" w:rsidRPr="00A73B2B" w:rsidRDefault="006B5E2F">
          <w:pPr>
            <w:pStyle w:val="Spistreci1"/>
            <w:tabs>
              <w:tab w:val="right" w:leader="dot" w:pos="10013"/>
            </w:tabs>
            <w:rPr>
              <w:rFonts w:asciiTheme="minorHAnsi" w:eastAsiaTheme="minorEastAsia" w:hAnsiTheme="minorHAnsi" w:cstheme="minorHAnsi"/>
              <w:noProof/>
              <w:sz w:val="22"/>
              <w:szCs w:val="22"/>
            </w:rPr>
          </w:pPr>
          <w:hyperlink w:anchor="_Toc368572364" w:history="1">
            <w:r w:rsidR="00DA6582" w:rsidRPr="00A73B2B">
              <w:rPr>
                <w:rStyle w:val="Hipercze"/>
                <w:rFonts w:asciiTheme="minorHAnsi" w:hAnsiTheme="minorHAnsi" w:cstheme="minorHAnsi"/>
                <w:noProof/>
              </w:rPr>
              <w:t>GOSPODARCZY BANK SPÓŁDZIELCZY W BARLINKU</w:t>
            </w:r>
            <w:r w:rsidR="00DA6582" w:rsidRPr="00A73B2B">
              <w:rPr>
                <w:rFonts w:asciiTheme="minorHAnsi" w:hAnsiTheme="minorHAnsi" w:cstheme="minorHAnsi"/>
                <w:noProof/>
                <w:webHidden/>
              </w:rPr>
              <w:tab/>
            </w:r>
            <w:r w:rsidRPr="00A73B2B">
              <w:rPr>
                <w:rFonts w:asciiTheme="minorHAnsi" w:hAnsiTheme="minorHAnsi" w:cstheme="minorHAnsi"/>
                <w:noProof/>
                <w:webHidden/>
              </w:rPr>
              <w:fldChar w:fldCharType="begin"/>
            </w:r>
            <w:r w:rsidR="00DA6582" w:rsidRPr="00A73B2B">
              <w:rPr>
                <w:rFonts w:asciiTheme="minorHAnsi" w:hAnsiTheme="minorHAnsi" w:cstheme="minorHAnsi"/>
                <w:noProof/>
                <w:webHidden/>
              </w:rPr>
              <w:instrText xml:space="preserve"> PAGEREF _Toc368572364 \h </w:instrText>
            </w:r>
            <w:r w:rsidRPr="00A73B2B">
              <w:rPr>
                <w:rFonts w:asciiTheme="minorHAnsi" w:hAnsiTheme="minorHAnsi" w:cstheme="minorHAnsi"/>
                <w:noProof/>
                <w:webHidden/>
              </w:rPr>
            </w:r>
            <w:r w:rsidRPr="00A73B2B">
              <w:rPr>
                <w:rFonts w:asciiTheme="minorHAnsi" w:hAnsiTheme="minorHAnsi" w:cstheme="minorHAnsi"/>
                <w:noProof/>
                <w:webHidden/>
              </w:rPr>
              <w:fldChar w:fldCharType="separate"/>
            </w:r>
            <w:r w:rsidR="00A73B2B" w:rsidRPr="00A73B2B">
              <w:rPr>
                <w:rFonts w:asciiTheme="minorHAnsi" w:hAnsiTheme="minorHAnsi" w:cstheme="minorHAnsi"/>
                <w:noProof/>
                <w:webHidden/>
              </w:rPr>
              <w:t>16</w:t>
            </w:r>
            <w:r w:rsidRPr="00A73B2B">
              <w:rPr>
                <w:rFonts w:asciiTheme="minorHAnsi" w:hAnsiTheme="minorHAnsi" w:cstheme="minorHAnsi"/>
                <w:noProof/>
                <w:webHidden/>
              </w:rPr>
              <w:fldChar w:fldCharType="end"/>
            </w:r>
          </w:hyperlink>
        </w:p>
        <w:p w:rsidR="00DA6582" w:rsidRPr="00A73B2B" w:rsidRDefault="006B5E2F">
          <w:pPr>
            <w:pStyle w:val="Spistreci1"/>
            <w:tabs>
              <w:tab w:val="right" w:leader="dot" w:pos="10013"/>
            </w:tabs>
            <w:rPr>
              <w:rFonts w:asciiTheme="minorHAnsi" w:eastAsiaTheme="minorEastAsia" w:hAnsiTheme="minorHAnsi" w:cstheme="minorHAnsi"/>
              <w:noProof/>
              <w:sz w:val="22"/>
              <w:szCs w:val="22"/>
            </w:rPr>
          </w:pPr>
          <w:hyperlink w:anchor="_Toc368572365" w:history="1">
            <w:r w:rsidR="00DA6582" w:rsidRPr="00A73B2B">
              <w:rPr>
                <w:rStyle w:val="Hipercze"/>
                <w:rFonts w:asciiTheme="minorHAnsi" w:hAnsiTheme="minorHAnsi" w:cstheme="minorHAnsi"/>
                <w:noProof/>
              </w:rPr>
              <w:t>BANK SPÓŁDZIELCZY W LIMANOWEJ</w:t>
            </w:r>
            <w:r w:rsidR="00DA6582" w:rsidRPr="00A73B2B">
              <w:rPr>
                <w:rFonts w:asciiTheme="minorHAnsi" w:hAnsiTheme="minorHAnsi" w:cstheme="minorHAnsi"/>
                <w:noProof/>
                <w:webHidden/>
              </w:rPr>
              <w:tab/>
            </w:r>
            <w:r w:rsidRPr="00A73B2B">
              <w:rPr>
                <w:rFonts w:asciiTheme="minorHAnsi" w:hAnsiTheme="minorHAnsi" w:cstheme="minorHAnsi"/>
                <w:noProof/>
                <w:webHidden/>
              </w:rPr>
              <w:fldChar w:fldCharType="begin"/>
            </w:r>
            <w:r w:rsidR="00DA6582" w:rsidRPr="00A73B2B">
              <w:rPr>
                <w:rFonts w:asciiTheme="minorHAnsi" w:hAnsiTheme="minorHAnsi" w:cstheme="minorHAnsi"/>
                <w:noProof/>
                <w:webHidden/>
              </w:rPr>
              <w:instrText xml:space="preserve"> PAGEREF _Toc368572365 \h </w:instrText>
            </w:r>
            <w:r w:rsidRPr="00A73B2B">
              <w:rPr>
                <w:rFonts w:asciiTheme="minorHAnsi" w:hAnsiTheme="minorHAnsi" w:cstheme="minorHAnsi"/>
                <w:noProof/>
                <w:webHidden/>
              </w:rPr>
            </w:r>
            <w:r w:rsidRPr="00A73B2B">
              <w:rPr>
                <w:rFonts w:asciiTheme="minorHAnsi" w:hAnsiTheme="minorHAnsi" w:cstheme="minorHAnsi"/>
                <w:noProof/>
                <w:webHidden/>
              </w:rPr>
              <w:fldChar w:fldCharType="separate"/>
            </w:r>
            <w:r w:rsidR="00A73B2B" w:rsidRPr="00A73B2B">
              <w:rPr>
                <w:rFonts w:asciiTheme="minorHAnsi" w:hAnsiTheme="minorHAnsi" w:cstheme="minorHAnsi"/>
                <w:noProof/>
                <w:webHidden/>
              </w:rPr>
              <w:t>17</w:t>
            </w:r>
            <w:r w:rsidRPr="00A73B2B">
              <w:rPr>
                <w:rFonts w:asciiTheme="minorHAnsi" w:hAnsiTheme="minorHAnsi" w:cstheme="minorHAnsi"/>
                <w:noProof/>
                <w:webHidden/>
              </w:rPr>
              <w:fldChar w:fldCharType="end"/>
            </w:r>
          </w:hyperlink>
        </w:p>
        <w:p w:rsidR="00DA6582" w:rsidRPr="00A73B2B" w:rsidRDefault="006B5E2F">
          <w:pPr>
            <w:pStyle w:val="Spistreci1"/>
            <w:tabs>
              <w:tab w:val="right" w:leader="dot" w:pos="10013"/>
            </w:tabs>
            <w:rPr>
              <w:rFonts w:asciiTheme="minorHAnsi" w:eastAsiaTheme="minorEastAsia" w:hAnsiTheme="minorHAnsi" w:cstheme="minorHAnsi"/>
              <w:noProof/>
              <w:sz w:val="22"/>
              <w:szCs w:val="22"/>
            </w:rPr>
          </w:pPr>
          <w:hyperlink w:anchor="_Toc368572366" w:history="1">
            <w:r w:rsidR="00DA6582" w:rsidRPr="00A73B2B">
              <w:rPr>
                <w:rStyle w:val="Hipercze"/>
                <w:rFonts w:asciiTheme="minorHAnsi" w:hAnsiTheme="minorHAnsi" w:cstheme="minorHAnsi"/>
                <w:noProof/>
              </w:rPr>
              <w:t>SPÓŁDZIELCZY BANK ROZWOJU W SZEPIETOWIE</w:t>
            </w:r>
            <w:r w:rsidR="00DA6582" w:rsidRPr="00A73B2B">
              <w:rPr>
                <w:rFonts w:asciiTheme="minorHAnsi" w:hAnsiTheme="minorHAnsi" w:cstheme="minorHAnsi"/>
                <w:noProof/>
                <w:webHidden/>
              </w:rPr>
              <w:tab/>
            </w:r>
            <w:r w:rsidRPr="00A73B2B">
              <w:rPr>
                <w:rFonts w:asciiTheme="minorHAnsi" w:hAnsiTheme="minorHAnsi" w:cstheme="minorHAnsi"/>
                <w:noProof/>
                <w:webHidden/>
              </w:rPr>
              <w:fldChar w:fldCharType="begin"/>
            </w:r>
            <w:r w:rsidR="00DA6582" w:rsidRPr="00A73B2B">
              <w:rPr>
                <w:rFonts w:asciiTheme="minorHAnsi" w:hAnsiTheme="minorHAnsi" w:cstheme="minorHAnsi"/>
                <w:noProof/>
                <w:webHidden/>
              </w:rPr>
              <w:instrText xml:space="preserve"> PAGEREF _Toc368572366 \h </w:instrText>
            </w:r>
            <w:r w:rsidRPr="00A73B2B">
              <w:rPr>
                <w:rFonts w:asciiTheme="minorHAnsi" w:hAnsiTheme="minorHAnsi" w:cstheme="minorHAnsi"/>
                <w:noProof/>
                <w:webHidden/>
              </w:rPr>
            </w:r>
            <w:r w:rsidRPr="00A73B2B">
              <w:rPr>
                <w:rFonts w:asciiTheme="minorHAnsi" w:hAnsiTheme="minorHAnsi" w:cstheme="minorHAnsi"/>
                <w:noProof/>
                <w:webHidden/>
              </w:rPr>
              <w:fldChar w:fldCharType="separate"/>
            </w:r>
            <w:r w:rsidR="00A73B2B" w:rsidRPr="00A73B2B">
              <w:rPr>
                <w:rFonts w:asciiTheme="minorHAnsi" w:hAnsiTheme="minorHAnsi" w:cstheme="minorHAnsi"/>
                <w:noProof/>
                <w:webHidden/>
              </w:rPr>
              <w:t>18</w:t>
            </w:r>
            <w:r w:rsidRPr="00A73B2B">
              <w:rPr>
                <w:rFonts w:asciiTheme="minorHAnsi" w:hAnsiTheme="minorHAnsi" w:cstheme="minorHAnsi"/>
                <w:noProof/>
                <w:webHidden/>
              </w:rPr>
              <w:fldChar w:fldCharType="end"/>
            </w:r>
          </w:hyperlink>
        </w:p>
        <w:p w:rsidR="00DA6582" w:rsidRPr="00A73B2B" w:rsidRDefault="006B5E2F">
          <w:pPr>
            <w:pStyle w:val="Spistreci1"/>
            <w:tabs>
              <w:tab w:val="right" w:leader="dot" w:pos="10013"/>
            </w:tabs>
            <w:rPr>
              <w:rFonts w:asciiTheme="minorHAnsi" w:eastAsiaTheme="minorEastAsia" w:hAnsiTheme="minorHAnsi" w:cstheme="minorHAnsi"/>
              <w:noProof/>
              <w:sz w:val="22"/>
              <w:szCs w:val="22"/>
            </w:rPr>
          </w:pPr>
          <w:hyperlink w:anchor="_Toc368572367" w:history="1">
            <w:r w:rsidR="00DA6582" w:rsidRPr="00A73B2B">
              <w:rPr>
                <w:rStyle w:val="Hipercze"/>
                <w:rFonts w:asciiTheme="minorHAnsi" w:hAnsiTheme="minorHAnsi" w:cstheme="minorHAnsi"/>
                <w:noProof/>
              </w:rPr>
              <w:t>MAZOWIECKI BANK SPÓŁDZIELCZY W ŁOMIANKACH</w:t>
            </w:r>
            <w:r w:rsidR="00DA6582" w:rsidRPr="00A73B2B">
              <w:rPr>
                <w:rFonts w:asciiTheme="minorHAnsi" w:hAnsiTheme="minorHAnsi" w:cstheme="minorHAnsi"/>
                <w:noProof/>
                <w:webHidden/>
              </w:rPr>
              <w:tab/>
            </w:r>
            <w:r w:rsidRPr="00A73B2B">
              <w:rPr>
                <w:rFonts w:asciiTheme="minorHAnsi" w:hAnsiTheme="minorHAnsi" w:cstheme="minorHAnsi"/>
                <w:noProof/>
                <w:webHidden/>
              </w:rPr>
              <w:fldChar w:fldCharType="begin"/>
            </w:r>
            <w:r w:rsidR="00DA6582" w:rsidRPr="00A73B2B">
              <w:rPr>
                <w:rFonts w:asciiTheme="minorHAnsi" w:hAnsiTheme="minorHAnsi" w:cstheme="minorHAnsi"/>
                <w:noProof/>
                <w:webHidden/>
              </w:rPr>
              <w:instrText xml:space="preserve"> PAGEREF _Toc368572367 \h </w:instrText>
            </w:r>
            <w:r w:rsidRPr="00A73B2B">
              <w:rPr>
                <w:rFonts w:asciiTheme="minorHAnsi" w:hAnsiTheme="minorHAnsi" w:cstheme="minorHAnsi"/>
                <w:noProof/>
                <w:webHidden/>
              </w:rPr>
            </w:r>
            <w:r w:rsidRPr="00A73B2B">
              <w:rPr>
                <w:rFonts w:asciiTheme="minorHAnsi" w:hAnsiTheme="minorHAnsi" w:cstheme="minorHAnsi"/>
                <w:noProof/>
                <w:webHidden/>
              </w:rPr>
              <w:fldChar w:fldCharType="separate"/>
            </w:r>
            <w:r w:rsidR="00A73B2B" w:rsidRPr="00A73B2B">
              <w:rPr>
                <w:rFonts w:asciiTheme="minorHAnsi" w:hAnsiTheme="minorHAnsi" w:cstheme="minorHAnsi"/>
                <w:noProof/>
                <w:webHidden/>
              </w:rPr>
              <w:t>19</w:t>
            </w:r>
            <w:r w:rsidRPr="00A73B2B">
              <w:rPr>
                <w:rFonts w:asciiTheme="minorHAnsi" w:hAnsiTheme="minorHAnsi" w:cstheme="minorHAnsi"/>
                <w:noProof/>
                <w:webHidden/>
              </w:rPr>
              <w:fldChar w:fldCharType="end"/>
            </w:r>
          </w:hyperlink>
        </w:p>
        <w:p w:rsidR="00DA6582" w:rsidRPr="00A73B2B" w:rsidRDefault="006B5E2F">
          <w:pPr>
            <w:pStyle w:val="Spistreci1"/>
            <w:tabs>
              <w:tab w:val="right" w:leader="dot" w:pos="10013"/>
            </w:tabs>
            <w:rPr>
              <w:rFonts w:asciiTheme="minorHAnsi" w:eastAsiaTheme="minorEastAsia" w:hAnsiTheme="minorHAnsi" w:cstheme="minorHAnsi"/>
              <w:noProof/>
              <w:sz w:val="22"/>
              <w:szCs w:val="22"/>
            </w:rPr>
          </w:pPr>
          <w:hyperlink w:anchor="_Toc368572368" w:history="1">
            <w:r w:rsidR="00DA6582" w:rsidRPr="00A73B2B">
              <w:rPr>
                <w:rStyle w:val="Hipercze"/>
                <w:rFonts w:asciiTheme="minorHAnsi" w:hAnsiTheme="minorHAnsi" w:cstheme="minorHAnsi"/>
                <w:noProof/>
              </w:rPr>
              <w:t>ORZESKO – KNUROWSKI BANK SPÓŁDZIELCZY W KNUROWIE</w:t>
            </w:r>
            <w:r w:rsidR="00DA6582" w:rsidRPr="00A73B2B">
              <w:rPr>
                <w:rFonts w:asciiTheme="minorHAnsi" w:hAnsiTheme="minorHAnsi" w:cstheme="minorHAnsi"/>
                <w:noProof/>
                <w:webHidden/>
              </w:rPr>
              <w:tab/>
            </w:r>
            <w:r w:rsidRPr="00A73B2B">
              <w:rPr>
                <w:rFonts w:asciiTheme="minorHAnsi" w:hAnsiTheme="minorHAnsi" w:cstheme="minorHAnsi"/>
                <w:noProof/>
                <w:webHidden/>
              </w:rPr>
              <w:fldChar w:fldCharType="begin"/>
            </w:r>
            <w:r w:rsidR="00DA6582" w:rsidRPr="00A73B2B">
              <w:rPr>
                <w:rFonts w:asciiTheme="minorHAnsi" w:hAnsiTheme="minorHAnsi" w:cstheme="minorHAnsi"/>
                <w:noProof/>
                <w:webHidden/>
              </w:rPr>
              <w:instrText xml:space="preserve"> PAGEREF _Toc368572368 \h </w:instrText>
            </w:r>
            <w:r w:rsidRPr="00A73B2B">
              <w:rPr>
                <w:rFonts w:asciiTheme="minorHAnsi" w:hAnsiTheme="minorHAnsi" w:cstheme="minorHAnsi"/>
                <w:noProof/>
                <w:webHidden/>
              </w:rPr>
            </w:r>
            <w:r w:rsidRPr="00A73B2B">
              <w:rPr>
                <w:rFonts w:asciiTheme="minorHAnsi" w:hAnsiTheme="minorHAnsi" w:cstheme="minorHAnsi"/>
                <w:noProof/>
                <w:webHidden/>
              </w:rPr>
              <w:fldChar w:fldCharType="separate"/>
            </w:r>
            <w:r w:rsidR="00A73B2B" w:rsidRPr="00A73B2B">
              <w:rPr>
                <w:rFonts w:asciiTheme="minorHAnsi" w:hAnsiTheme="minorHAnsi" w:cstheme="minorHAnsi"/>
                <w:noProof/>
                <w:webHidden/>
              </w:rPr>
              <w:t>20</w:t>
            </w:r>
            <w:r w:rsidRPr="00A73B2B">
              <w:rPr>
                <w:rFonts w:asciiTheme="minorHAnsi" w:hAnsiTheme="minorHAnsi" w:cstheme="minorHAnsi"/>
                <w:noProof/>
                <w:webHidden/>
              </w:rPr>
              <w:fldChar w:fldCharType="end"/>
            </w:r>
          </w:hyperlink>
        </w:p>
        <w:p w:rsidR="00DA6582" w:rsidRPr="00A73B2B" w:rsidRDefault="006B5E2F">
          <w:pPr>
            <w:pStyle w:val="Spistreci1"/>
            <w:tabs>
              <w:tab w:val="right" w:leader="dot" w:pos="10013"/>
            </w:tabs>
            <w:rPr>
              <w:rFonts w:asciiTheme="minorHAnsi" w:eastAsiaTheme="minorEastAsia" w:hAnsiTheme="minorHAnsi" w:cstheme="minorHAnsi"/>
              <w:noProof/>
              <w:sz w:val="22"/>
              <w:szCs w:val="22"/>
            </w:rPr>
          </w:pPr>
          <w:hyperlink w:anchor="_Toc368572369" w:history="1">
            <w:r w:rsidR="00DA6582" w:rsidRPr="00A73B2B">
              <w:rPr>
                <w:rStyle w:val="Hipercze"/>
                <w:rFonts w:asciiTheme="minorHAnsi" w:hAnsiTheme="minorHAnsi" w:cstheme="minorHAnsi"/>
                <w:noProof/>
              </w:rPr>
              <w:t>PODLASKO – MAZURSKI BANK SPÓŁDZIELCZY W ZABŁUDOWIE</w:t>
            </w:r>
            <w:r w:rsidR="00DA6582" w:rsidRPr="00A73B2B">
              <w:rPr>
                <w:rFonts w:asciiTheme="minorHAnsi" w:hAnsiTheme="minorHAnsi" w:cstheme="minorHAnsi"/>
                <w:noProof/>
                <w:webHidden/>
              </w:rPr>
              <w:tab/>
            </w:r>
            <w:r w:rsidRPr="00A73B2B">
              <w:rPr>
                <w:rFonts w:asciiTheme="minorHAnsi" w:hAnsiTheme="minorHAnsi" w:cstheme="minorHAnsi"/>
                <w:noProof/>
                <w:webHidden/>
              </w:rPr>
              <w:fldChar w:fldCharType="begin"/>
            </w:r>
            <w:r w:rsidR="00DA6582" w:rsidRPr="00A73B2B">
              <w:rPr>
                <w:rFonts w:asciiTheme="minorHAnsi" w:hAnsiTheme="minorHAnsi" w:cstheme="minorHAnsi"/>
                <w:noProof/>
                <w:webHidden/>
              </w:rPr>
              <w:instrText xml:space="preserve"> PAGEREF _Toc368572369 \h </w:instrText>
            </w:r>
            <w:r w:rsidRPr="00A73B2B">
              <w:rPr>
                <w:rFonts w:asciiTheme="minorHAnsi" w:hAnsiTheme="minorHAnsi" w:cstheme="minorHAnsi"/>
                <w:noProof/>
                <w:webHidden/>
              </w:rPr>
            </w:r>
            <w:r w:rsidRPr="00A73B2B">
              <w:rPr>
                <w:rFonts w:asciiTheme="minorHAnsi" w:hAnsiTheme="minorHAnsi" w:cstheme="minorHAnsi"/>
                <w:noProof/>
                <w:webHidden/>
              </w:rPr>
              <w:fldChar w:fldCharType="separate"/>
            </w:r>
            <w:r w:rsidR="00A73B2B" w:rsidRPr="00A73B2B">
              <w:rPr>
                <w:rFonts w:asciiTheme="minorHAnsi" w:hAnsiTheme="minorHAnsi" w:cstheme="minorHAnsi"/>
                <w:noProof/>
                <w:webHidden/>
              </w:rPr>
              <w:t>21</w:t>
            </w:r>
            <w:r w:rsidRPr="00A73B2B">
              <w:rPr>
                <w:rFonts w:asciiTheme="minorHAnsi" w:hAnsiTheme="minorHAnsi" w:cstheme="minorHAnsi"/>
                <w:noProof/>
                <w:webHidden/>
              </w:rPr>
              <w:fldChar w:fldCharType="end"/>
            </w:r>
          </w:hyperlink>
        </w:p>
        <w:p w:rsidR="00DA6582" w:rsidRPr="00A73B2B" w:rsidRDefault="006B5E2F">
          <w:pPr>
            <w:pStyle w:val="Spistreci1"/>
            <w:tabs>
              <w:tab w:val="right" w:leader="dot" w:pos="10013"/>
            </w:tabs>
            <w:rPr>
              <w:rFonts w:asciiTheme="minorHAnsi" w:eastAsiaTheme="minorEastAsia" w:hAnsiTheme="minorHAnsi" w:cstheme="minorHAnsi"/>
              <w:noProof/>
              <w:sz w:val="22"/>
              <w:szCs w:val="22"/>
            </w:rPr>
          </w:pPr>
          <w:hyperlink w:anchor="_Toc368572370" w:history="1">
            <w:r w:rsidR="00DA6582" w:rsidRPr="00A73B2B">
              <w:rPr>
                <w:rStyle w:val="Hipercze"/>
                <w:rFonts w:asciiTheme="minorHAnsi" w:hAnsiTheme="minorHAnsi" w:cstheme="minorHAnsi"/>
                <w:noProof/>
              </w:rPr>
              <w:t>KUJAWSKI BANK SPÓŁDZIELCZY W ALEKSANDROWIE KUJAWSKIM</w:t>
            </w:r>
            <w:r w:rsidR="00DA6582" w:rsidRPr="00A73B2B">
              <w:rPr>
                <w:rFonts w:asciiTheme="minorHAnsi" w:hAnsiTheme="minorHAnsi" w:cstheme="minorHAnsi"/>
                <w:noProof/>
                <w:webHidden/>
              </w:rPr>
              <w:tab/>
            </w:r>
            <w:r w:rsidRPr="00A73B2B">
              <w:rPr>
                <w:rFonts w:asciiTheme="minorHAnsi" w:hAnsiTheme="minorHAnsi" w:cstheme="minorHAnsi"/>
                <w:noProof/>
                <w:webHidden/>
              </w:rPr>
              <w:fldChar w:fldCharType="begin"/>
            </w:r>
            <w:r w:rsidR="00DA6582" w:rsidRPr="00A73B2B">
              <w:rPr>
                <w:rFonts w:asciiTheme="minorHAnsi" w:hAnsiTheme="minorHAnsi" w:cstheme="minorHAnsi"/>
                <w:noProof/>
                <w:webHidden/>
              </w:rPr>
              <w:instrText xml:space="preserve"> PAGEREF _Toc368572370 \h </w:instrText>
            </w:r>
            <w:r w:rsidRPr="00A73B2B">
              <w:rPr>
                <w:rFonts w:asciiTheme="minorHAnsi" w:hAnsiTheme="minorHAnsi" w:cstheme="minorHAnsi"/>
                <w:noProof/>
                <w:webHidden/>
              </w:rPr>
            </w:r>
            <w:r w:rsidRPr="00A73B2B">
              <w:rPr>
                <w:rFonts w:asciiTheme="minorHAnsi" w:hAnsiTheme="minorHAnsi" w:cstheme="minorHAnsi"/>
                <w:noProof/>
                <w:webHidden/>
              </w:rPr>
              <w:fldChar w:fldCharType="separate"/>
            </w:r>
            <w:r w:rsidR="00A73B2B" w:rsidRPr="00A73B2B">
              <w:rPr>
                <w:rFonts w:asciiTheme="minorHAnsi" w:hAnsiTheme="minorHAnsi" w:cstheme="minorHAnsi"/>
                <w:noProof/>
                <w:webHidden/>
              </w:rPr>
              <w:t>22</w:t>
            </w:r>
            <w:r w:rsidRPr="00A73B2B">
              <w:rPr>
                <w:rFonts w:asciiTheme="minorHAnsi" w:hAnsiTheme="minorHAnsi" w:cstheme="minorHAnsi"/>
                <w:noProof/>
                <w:webHidden/>
              </w:rPr>
              <w:fldChar w:fldCharType="end"/>
            </w:r>
          </w:hyperlink>
        </w:p>
        <w:p w:rsidR="00636E50" w:rsidRDefault="006B5E2F" w:rsidP="007A5584">
          <w:pPr>
            <w:ind w:left="-426" w:right="242"/>
          </w:pPr>
          <w:r w:rsidRPr="00A73B2B">
            <w:rPr>
              <w:rFonts w:asciiTheme="minorHAnsi" w:hAnsiTheme="minorHAnsi" w:cstheme="minorHAnsi"/>
              <w:sz w:val="22"/>
              <w:szCs w:val="22"/>
            </w:rPr>
            <w:fldChar w:fldCharType="end"/>
          </w:r>
        </w:p>
      </w:sdtContent>
    </w:sdt>
    <w:p w:rsidR="003A7438" w:rsidRDefault="003A7438">
      <w:pPr>
        <w:rPr>
          <w:rFonts w:asciiTheme="minorHAnsi" w:hAnsiTheme="minorHAnsi" w:cs="Arial"/>
          <w:sz w:val="26"/>
          <w:szCs w:val="26"/>
        </w:rPr>
      </w:pPr>
      <w:r>
        <w:rPr>
          <w:rFonts w:asciiTheme="minorHAnsi" w:hAnsiTheme="minorHAnsi" w:cs="Arial"/>
          <w:sz w:val="26"/>
          <w:szCs w:val="26"/>
        </w:rPr>
        <w:br w:type="page"/>
      </w:r>
    </w:p>
    <w:p w:rsidR="00CF2B28" w:rsidRPr="00716AC1" w:rsidRDefault="00CF2B28" w:rsidP="00636E50">
      <w:pPr>
        <w:pStyle w:val="Nagwek1"/>
      </w:pPr>
      <w:bookmarkStart w:id="1" w:name="_Toc368572351"/>
      <w:r w:rsidRPr="00716AC1">
        <w:lastRenderedPageBreak/>
        <w:t>BANK BPS</w:t>
      </w:r>
      <w:bookmarkEnd w:id="1"/>
    </w:p>
    <w:p w:rsidR="00304403" w:rsidRPr="00366A2D" w:rsidRDefault="00304403" w:rsidP="00304403">
      <w:pPr>
        <w:tabs>
          <w:tab w:val="left" w:pos="6960"/>
        </w:tabs>
        <w:ind w:left="-510"/>
        <w:rPr>
          <w:rFonts w:asciiTheme="minorHAnsi" w:hAnsiTheme="minorHAnsi" w:cs="Arial"/>
          <w:sz w:val="22"/>
          <w:szCs w:val="22"/>
        </w:rPr>
      </w:pPr>
    </w:p>
    <w:tbl>
      <w:tblPr>
        <w:tblW w:w="4104" w:type="dxa"/>
        <w:tblInd w:w="60" w:type="dxa"/>
        <w:tblCellMar>
          <w:left w:w="70" w:type="dxa"/>
          <w:right w:w="70" w:type="dxa"/>
        </w:tblCellMar>
        <w:tblLook w:val="04A0"/>
      </w:tblPr>
      <w:tblGrid>
        <w:gridCol w:w="2600"/>
        <w:gridCol w:w="671"/>
        <w:gridCol w:w="833"/>
      </w:tblGrid>
      <w:tr w:rsidR="00E3275A" w:rsidTr="00AC45AD">
        <w:trPr>
          <w:trHeight w:val="252"/>
        </w:trPr>
        <w:tc>
          <w:tcPr>
            <w:tcW w:w="2600" w:type="dxa"/>
            <w:tcBorders>
              <w:top w:val="single" w:sz="8" w:space="0" w:color="FFFFFF"/>
              <w:left w:val="single" w:sz="8" w:space="0" w:color="FFFFFF"/>
              <w:bottom w:val="single" w:sz="8" w:space="0" w:color="1EAA82"/>
              <w:right w:val="nil"/>
            </w:tcBorders>
            <w:shd w:val="clear" w:color="000000" w:fill="FFFFFF"/>
            <w:vAlign w:val="center"/>
            <w:hideMark/>
          </w:tcPr>
          <w:p w:rsidR="00E3275A" w:rsidRDefault="00E3275A">
            <w:pPr>
              <w:rPr>
                <w:rFonts w:ascii="Calibri" w:hAnsi="Calibri" w:cs="Calibri"/>
                <w:b/>
                <w:bCs/>
                <w:color w:val="000000"/>
                <w:sz w:val="18"/>
                <w:szCs w:val="18"/>
              </w:rPr>
            </w:pPr>
            <w:r>
              <w:rPr>
                <w:rFonts w:ascii="Calibri" w:hAnsi="Calibri" w:cs="Calibri"/>
                <w:b/>
                <w:bCs/>
                <w:color w:val="000000"/>
                <w:sz w:val="18"/>
                <w:szCs w:val="18"/>
              </w:rPr>
              <w:t>Podstawowe dane</w:t>
            </w:r>
          </w:p>
        </w:tc>
        <w:tc>
          <w:tcPr>
            <w:tcW w:w="671" w:type="dxa"/>
            <w:tcBorders>
              <w:top w:val="single" w:sz="8" w:space="0" w:color="FFFFFF"/>
              <w:left w:val="nil"/>
              <w:bottom w:val="single" w:sz="8" w:space="0" w:color="1EAA82"/>
              <w:right w:val="single" w:sz="8" w:space="0" w:color="FFFFFF"/>
            </w:tcBorders>
            <w:shd w:val="clear" w:color="000000" w:fill="FFFFFF"/>
            <w:vAlign w:val="center"/>
            <w:hideMark/>
          </w:tcPr>
          <w:p w:rsidR="00E3275A" w:rsidRDefault="00E3275A">
            <w:pPr>
              <w:jc w:val="right"/>
              <w:rPr>
                <w:rFonts w:ascii="Calibri" w:hAnsi="Calibri" w:cs="Calibri"/>
                <w:b/>
                <w:bCs/>
                <w:color w:val="000000"/>
                <w:sz w:val="18"/>
                <w:szCs w:val="18"/>
              </w:rPr>
            </w:pPr>
            <w:r>
              <w:rPr>
                <w:rFonts w:ascii="Calibri" w:hAnsi="Calibri" w:cs="Calibri"/>
                <w:b/>
                <w:bCs/>
                <w:color w:val="000000"/>
                <w:sz w:val="18"/>
                <w:szCs w:val="18"/>
              </w:rPr>
              <w:t>2012 </w:t>
            </w:r>
          </w:p>
        </w:tc>
        <w:tc>
          <w:tcPr>
            <w:tcW w:w="833" w:type="dxa"/>
            <w:tcBorders>
              <w:top w:val="single" w:sz="8" w:space="0" w:color="FFFFFF"/>
              <w:left w:val="nil"/>
              <w:bottom w:val="single" w:sz="8" w:space="0" w:color="1EAA82"/>
              <w:right w:val="single" w:sz="8" w:space="0" w:color="FFFFFF"/>
            </w:tcBorders>
            <w:shd w:val="clear" w:color="000000" w:fill="FFFFFF"/>
          </w:tcPr>
          <w:p w:rsidR="00E3275A" w:rsidRDefault="00E3275A">
            <w:pPr>
              <w:jc w:val="right"/>
              <w:rPr>
                <w:rFonts w:ascii="Calibri" w:hAnsi="Calibri" w:cs="Calibri"/>
                <w:b/>
                <w:bCs/>
                <w:color w:val="000000"/>
                <w:sz w:val="18"/>
                <w:szCs w:val="18"/>
              </w:rPr>
            </w:pPr>
            <w:r>
              <w:rPr>
                <w:rFonts w:ascii="Calibri" w:hAnsi="Calibri" w:cs="Calibri"/>
                <w:b/>
                <w:bCs/>
                <w:color w:val="000000"/>
                <w:sz w:val="18"/>
                <w:szCs w:val="18"/>
              </w:rPr>
              <w:t>1H’13</w:t>
            </w:r>
          </w:p>
        </w:tc>
      </w:tr>
      <w:tr w:rsidR="00E3275A" w:rsidTr="00AC45AD">
        <w:trPr>
          <w:trHeight w:val="240"/>
        </w:trPr>
        <w:tc>
          <w:tcPr>
            <w:tcW w:w="2600" w:type="dxa"/>
            <w:tcBorders>
              <w:top w:val="nil"/>
              <w:left w:val="nil"/>
              <w:bottom w:val="nil"/>
              <w:right w:val="nil"/>
            </w:tcBorders>
            <w:shd w:val="clear" w:color="000000" w:fill="FFFFFF"/>
            <w:vAlign w:val="center"/>
            <w:hideMark/>
          </w:tcPr>
          <w:p w:rsidR="00E3275A" w:rsidRDefault="00E3275A" w:rsidP="00E3275A">
            <w:pPr>
              <w:rPr>
                <w:rFonts w:ascii="Calibri" w:hAnsi="Calibri" w:cs="Calibri"/>
                <w:color w:val="000000"/>
                <w:sz w:val="18"/>
                <w:szCs w:val="18"/>
              </w:rPr>
            </w:pPr>
            <w:r>
              <w:rPr>
                <w:rFonts w:ascii="Calibri" w:hAnsi="Calibri" w:cs="Calibri"/>
                <w:color w:val="000000"/>
                <w:sz w:val="18"/>
                <w:szCs w:val="18"/>
              </w:rPr>
              <w:t>Suma bilansowa [mln PLN]</w:t>
            </w:r>
          </w:p>
        </w:tc>
        <w:tc>
          <w:tcPr>
            <w:tcW w:w="671" w:type="dxa"/>
            <w:tcBorders>
              <w:top w:val="nil"/>
              <w:left w:val="nil"/>
              <w:bottom w:val="nil"/>
              <w:right w:val="nil"/>
            </w:tcBorders>
            <w:shd w:val="clear" w:color="000000" w:fill="FFFFFF"/>
            <w:vAlign w:val="center"/>
          </w:tcPr>
          <w:p w:rsidR="00E3275A" w:rsidRDefault="00AC45AD">
            <w:pPr>
              <w:jc w:val="right"/>
              <w:rPr>
                <w:rFonts w:ascii="Calibri" w:hAnsi="Calibri" w:cs="Calibri"/>
                <w:color w:val="000000"/>
                <w:sz w:val="18"/>
                <w:szCs w:val="18"/>
              </w:rPr>
            </w:pPr>
            <w:r>
              <w:rPr>
                <w:rFonts w:ascii="Calibri" w:hAnsi="Calibri" w:cs="Calibri"/>
                <w:color w:val="000000"/>
                <w:sz w:val="18"/>
                <w:szCs w:val="18"/>
              </w:rPr>
              <w:t>18 606</w:t>
            </w:r>
          </w:p>
        </w:tc>
        <w:tc>
          <w:tcPr>
            <w:tcW w:w="833" w:type="dxa"/>
            <w:tcBorders>
              <w:top w:val="nil"/>
              <w:left w:val="nil"/>
              <w:bottom w:val="nil"/>
              <w:right w:val="nil"/>
            </w:tcBorders>
            <w:shd w:val="clear" w:color="000000" w:fill="FFFFFF"/>
          </w:tcPr>
          <w:p w:rsidR="00E3275A" w:rsidRDefault="00E218C6">
            <w:pPr>
              <w:jc w:val="right"/>
              <w:rPr>
                <w:rFonts w:ascii="Calibri" w:hAnsi="Calibri" w:cs="Calibri"/>
                <w:color w:val="000000"/>
                <w:sz w:val="18"/>
                <w:szCs w:val="18"/>
              </w:rPr>
            </w:pPr>
            <w:r>
              <w:rPr>
                <w:rFonts w:ascii="Calibri" w:hAnsi="Calibri" w:cs="Calibri"/>
                <w:color w:val="000000"/>
                <w:sz w:val="18"/>
                <w:szCs w:val="18"/>
              </w:rPr>
              <w:t>20 942</w:t>
            </w:r>
          </w:p>
        </w:tc>
      </w:tr>
      <w:tr w:rsidR="00E3275A" w:rsidTr="00AC45AD">
        <w:trPr>
          <w:trHeight w:val="240"/>
        </w:trPr>
        <w:tc>
          <w:tcPr>
            <w:tcW w:w="2600" w:type="dxa"/>
            <w:tcBorders>
              <w:top w:val="nil"/>
              <w:left w:val="nil"/>
              <w:bottom w:val="nil"/>
              <w:right w:val="nil"/>
            </w:tcBorders>
            <w:shd w:val="clear" w:color="000000" w:fill="FFFFFF"/>
            <w:vAlign w:val="center"/>
            <w:hideMark/>
          </w:tcPr>
          <w:p w:rsidR="00E3275A" w:rsidRDefault="00E3275A" w:rsidP="00E3275A">
            <w:pPr>
              <w:rPr>
                <w:rFonts w:ascii="Calibri" w:hAnsi="Calibri" w:cs="Calibri"/>
                <w:color w:val="000000"/>
                <w:sz w:val="18"/>
                <w:szCs w:val="18"/>
              </w:rPr>
            </w:pPr>
            <w:r>
              <w:rPr>
                <w:rFonts w:ascii="Calibri" w:hAnsi="Calibri" w:cs="Calibri"/>
                <w:color w:val="000000"/>
                <w:sz w:val="18"/>
                <w:szCs w:val="18"/>
              </w:rPr>
              <w:t>Kapitały własne [mln PLN]</w:t>
            </w:r>
          </w:p>
        </w:tc>
        <w:tc>
          <w:tcPr>
            <w:tcW w:w="671" w:type="dxa"/>
            <w:tcBorders>
              <w:top w:val="nil"/>
              <w:left w:val="nil"/>
              <w:bottom w:val="nil"/>
              <w:right w:val="nil"/>
            </w:tcBorders>
            <w:shd w:val="clear" w:color="000000" w:fill="FFFFFF"/>
            <w:vAlign w:val="center"/>
          </w:tcPr>
          <w:p w:rsidR="00E3275A" w:rsidRDefault="00AC45AD">
            <w:pPr>
              <w:jc w:val="right"/>
              <w:rPr>
                <w:rFonts w:ascii="Calibri" w:hAnsi="Calibri" w:cs="Calibri"/>
                <w:color w:val="000000"/>
                <w:sz w:val="18"/>
                <w:szCs w:val="18"/>
              </w:rPr>
            </w:pPr>
            <w:r>
              <w:rPr>
                <w:rFonts w:ascii="Calibri" w:hAnsi="Calibri" w:cs="Calibri"/>
                <w:color w:val="000000"/>
                <w:sz w:val="18"/>
                <w:szCs w:val="18"/>
              </w:rPr>
              <w:t>800</w:t>
            </w:r>
          </w:p>
        </w:tc>
        <w:tc>
          <w:tcPr>
            <w:tcW w:w="833" w:type="dxa"/>
            <w:tcBorders>
              <w:top w:val="nil"/>
              <w:left w:val="nil"/>
              <w:bottom w:val="nil"/>
              <w:right w:val="nil"/>
            </w:tcBorders>
            <w:shd w:val="clear" w:color="000000" w:fill="FFFFFF"/>
          </w:tcPr>
          <w:p w:rsidR="00E3275A" w:rsidRDefault="00E218C6">
            <w:pPr>
              <w:jc w:val="right"/>
              <w:rPr>
                <w:rFonts w:ascii="Calibri" w:hAnsi="Calibri" w:cs="Calibri"/>
                <w:color w:val="000000"/>
                <w:sz w:val="18"/>
                <w:szCs w:val="18"/>
              </w:rPr>
            </w:pPr>
            <w:r>
              <w:rPr>
                <w:rFonts w:ascii="Calibri" w:hAnsi="Calibri" w:cs="Calibri"/>
                <w:color w:val="000000"/>
                <w:sz w:val="18"/>
                <w:szCs w:val="18"/>
              </w:rPr>
              <w:t>777</w:t>
            </w:r>
          </w:p>
        </w:tc>
      </w:tr>
      <w:tr w:rsidR="00E3275A" w:rsidTr="00AC45AD">
        <w:trPr>
          <w:trHeight w:val="240"/>
        </w:trPr>
        <w:tc>
          <w:tcPr>
            <w:tcW w:w="2600" w:type="dxa"/>
            <w:tcBorders>
              <w:top w:val="nil"/>
              <w:left w:val="nil"/>
              <w:bottom w:val="nil"/>
              <w:right w:val="nil"/>
            </w:tcBorders>
            <w:shd w:val="clear" w:color="000000" w:fill="FFFFFF"/>
            <w:vAlign w:val="center"/>
            <w:hideMark/>
          </w:tcPr>
          <w:p w:rsidR="00E3275A" w:rsidRDefault="00E3275A" w:rsidP="00E3275A">
            <w:pPr>
              <w:rPr>
                <w:rFonts w:ascii="Calibri" w:hAnsi="Calibri" w:cs="Calibri"/>
                <w:color w:val="000000"/>
                <w:sz w:val="18"/>
                <w:szCs w:val="18"/>
              </w:rPr>
            </w:pPr>
            <w:r>
              <w:rPr>
                <w:rFonts w:ascii="Calibri" w:hAnsi="Calibri" w:cs="Calibri"/>
                <w:color w:val="000000"/>
                <w:sz w:val="18"/>
                <w:szCs w:val="18"/>
              </w:rPr>
              <w:t xml:space="preserve">Współczynnik wypłacalności [%]                      </w:t>
            </w:r>
          </w:p>
        </w:tc>
        <w:tc>
          <w:tcPr>
            <w:tcW w:w="671" w:type="dxa"/>
            <w:tcBorders>
              <w:top w:val="nil"/>
              <w:left w:val="nil"/>
              <w:bottom w:val="nil"/>
              <w:right w:val="nil"/>
            </w:tcBorders>
            <w:shd w:val="clear" w:color="000000" w:fill="FFFFFF"/>
            <w:vAlign w:val="center"/>
          </w:tcPr>
          <w:p w:rsidR="00E3275A" w:rsidRDefault="00AC45AD">
            <w:pPr>
              <w:jc w:val="right"/>
              <w:rPr>
                <w:rFonts w:ascii="Calibri" w:hAnsi="Calibri" w:cs="Calibri"/>
                <w:color w:val="000000"/>
                <w:sz w:val="18"/>
                <w:szCs w:val="18"/>
              </w:rPr>
            </w:pPr>
            <w:r>
              <w:rPr>
                <w:rFonts w:ascii="Calibri" w:hAnsi="Calibri" w:cs="Calibri"/>
                <w:color w:val="000000"/>
                <w:sz w:val="18"/>
                <w:szCs w:val="18"/>
              </w:rPr>
              <w:t>10,8</w:t>
            </w:r>
          </w:p>
        </w:tc>
        <w:tc>
          <w:tcPr>
            <w:tcW w:w="833" w:type="dxa"/>
            <w:tcBorders>
              <w:top w:val="nil"/>
              <w:left w:val="nil"/>
              <w:bottom w:val="nil"/>
              <w:right w:val="nil"/>
            </w:tcBorders>
            <w:shd w:val="clear" w:color="000000" w:fill="FFFFFF"/>
          </w:tcPr>
          <w:p w:rsidR="00E3275A" w:rsidRDefault="00E218C6">
            <w:pPr>
              <w:jc w:val="right"/>
              <w:rPr>
                <w:rFonts w:ascii="Calibri" w:hAnsi="Calibri" w:cs="Calibri"/>
                <w:color w:val="000000"/>
                <w:sz w:val="18"/>
                <w:szCs w:val="18"/>
              </w:rPr>
            </w:pPr>
            <w:r>
              <w:rPr>
                <w:rFonts w:ascii="Calibri" w:hAnsi="Calibri" w:cs="Calibri"/>
                <w:color w:val="000000"/>
                <w:sz w:val="18"/>
                <w:szCs w:val="18"/>
              </w:rPr>
              <w:t>10,2</w:t>
            </w:r>
          </w:p>
        </w:tc>
      </w:tr>
      <w:tr w:rsidR="00E3275A" w:rsidTr="00AC45AD">
        <w:trPr>
          <w:trHeight w:val="240"/>
        </w:trPr>
        <w:tc>
          <w:tcPr>
            <w:tcW w:w="2600" w:type="dxa"/>
            <w:tcBorders>
              <w:top w:val="nil"/>
              <w:left w:val="nil"/>
              <w:bottom w:val="nil"/>
              <w:right w:val="nil"/>
            </w:tcBorders>
            <w:shd w:val="clear" w:color="000000" w:fill="FFFFFF"/>
            <w:vAlign w:val="center"/>
            <w:hideMark/>
          </w:tcPr>
          <w:p w:rsidR="00E3275A" w:rsidRDefault="00E3275A" w:rsidP="00E3275A">
            <w:pPr>
              <w:rPr>
                <w:rFonts w:ascii="Calibri" w:hAnsi="Calibri" w:cs="Calibri"/>
                <w:color w:val="000000"/>
                <w:sz w:val="18"/>
                <w:szCs w:val="18"/>
              </w:rPr>
            </w:pPr>
            <w:r>
              <w:rPr>
                <w:rFonts w:ascii="Calibri" w:hAnsi="Calibri" w:cs="Calibri"/>
                <w:color w:val="000000"/>
                <w:sz w:val="18"/>
                <w:szCs w:val="18"/>
              </w:rPr>
              <w:t>C/I [%]</w:t>
            </w:r>
          </w:p>
        </w:tc>
        <w:tc>
          <w:tcPr>
            <w:tcW w:w="671" w:type="dxa"/>
            <w:tcBorders>
              <w:top w:val="nil"/>
              <w:left w:val="nil"/>
              <w:bottom w:val="nil"/>
              <w:right w:val="nil"/>
            </w:tcBorders>
            <w:shd w:val="clear" w:color="000000" w:fill="FFFFFF"/>
            <w:vAlign w:val="center"/>
          </w:tcPr>
          <w:p w:rsidR="00E3275A" w:rsidRDefault="00AC45AD">
            <w:pPr>
              <w:jc w:val="right"/>
              <w:rPr>
                <w:rFonts w:ascii="Calibri" w:hAnsi="Calibri" w:cs="Calibri"/>
                <w:color w:val="000000"/>
                <w:sz w:val="18"/>
                <w:szCs w:val="18"/>
              </w:rPr>
            </w:pPr>
            <w:r>
              <w:rPr>
                <w:rFonts w:ascii="Calibri" w:hAnsi="Calibri" w:cs="Calibri"/>
                <w:color w:val="000000"/>
                <w:sz w:val="18"/>
                <w:szCs w:val="18"/>
              </w:rPr>
              <w:t>80,6</w:t>
            </w:r>
          </w:p>
        </w:tc>
        <w:tc>
          <w:tcPr>
            <w:tcW w:w="833" w:type="dxa"/>
            <w:tcBorders>
              <w:top w:val="nil"/>
              <w:left w:val="nil"/>
              <w:bottom w:val="nil"/>
              <w:right w:val="nil"/>
            </w:tcBorders>
            <w:shd w:val="clear" w:color="000000" w:fill="FFFFFF"/>
          </w:tcPr>
          <w:p w:rsidR="00E3275A" w:rsidRDefault="00E218C6">
            <w:pPr>
              <w:jc w:val="right"/>
              <w:rPr>
                <w:rFonts w:ascii="Calibri" w:hAnsi="Calibri" w:cs="Calibri"/>
                <w:color w:val="000000"/>
                <w:sz w:val="18"/>
                <w:szCs w:val="18"/>
              </w:rPr>
            </w:pPr>
            <w:r>
              <w:rPr>
                <w:rFonts w:ascii="Calibri" w:hAnsi="Calibri" w:cs="Calibri"/>
                <w:color w:val="000000"/>
                <w:sz w:val="18"/>
                <w:szCs w:val="18"/>
              </w:rPr>
              <w:t>68,9</w:t>
            </w:r>
          </w:p>
        </w:tc>
      </w:tr>
    </w:tbl>
    <w:p w:rsidR="00E3275A" w:rsidRPr="00366A2D" w:rsidRDefault="00E3275A" w:rsidP="00304403">
      <w:pPr>
        <w:tabs>
          <w:tab w:val="left" w:pos="6960"/>
        </w:tabs>
        <w:ind w:left="-510"/>
        <w:rPr>
          <w:rFonts w:asciiTheme="minorHAnsi" w:hAnsiTheme="minorHAnsi" w:cs="Arial"/>
          <w:sz w:val="22"/>
          <w:szCs w:val="22"/>
        </w:rPr>
      </w:pPr>
    </w:p>
    <w:p w:rsidR="00304403" w:rsidRPr="00304403" w:rsidRDefault="00304403" w:rsidP="00366A2D">
      <w:pPr>
        <w:spacing w:line="276" w:lineRule="auto"/>
        <w:ind w:left="-284"/>
        <w:jc w:val="both"/>
        <w:rPr>
          <w:rFonts w:ascii="Calibri" w:hAnsi="Calibri" w:cs="Arial"/>
          <w:bCs/>
          <w:sz w:val="22"/>
          <w:szCs w:val="22"/>
        </w:rPr>
      </w:pPr>
      <w:r w:rsidRPr="00304403">
        <w:rPr>
          <w:rFonts w:ascii="Calibri" w:hAnsi="Calibri" w:cs="Arial"/>
          <w:b/>
          <w:bCs/>
          <w:sz w:val="22"/>
          <w:szCs w:val="22"/>
        </w:rPr>
        <w:t xml:space="preserve">Rezerwy zaciążyły na wyniku banku. </w:t>
      </w:r>
      <w:r w:rsidRPr="00304403">
        <w:rPr>
          <w:rFonts w:ascii="Calibri" w:hAnsi="Calibri" w:cs="Arial"/>
          <w:bCs/>
          <w:sz w:val="22"/>
          <w:szCs w:val="22"/>
        </w:rPr>
        <w:t>Bank BPS w 1H’13 wypracował 173,6 mln PLN zysku na działalności bankowej i 14,0 mln PLN zysku netto.</w:t>
      </w:r>
    </w:p>
    <w:p w:rsidR="00304403" w:rsidRDefault="00304403" w:rsidP="00304403">
      <w:pPr>
        <w:tabs>
          <w:tab w:val="left" w:pos="6960"/>
        </w:tabs>
        <w:ind w:left="-510"/>
        <w:rPr>
          <w:rFonts w:asciiTheme="minorHAnsi" w:hAnsiTheme="minorHAnsi" w:cs="Arial"/>
          <w:sz w:val="20"/>
          <w:szCs w:val="20"/>
        </w:rPr>
      </w:pPr>
    </w:p>
    <w:p w:rsidR="00304403" w:rsidRDefault="00304403" w:rsidP="00304403">
      <w:pPr>
        <w:ind w:left="-510"/>
        <w:rPr>
          <w:rFonts w:asciiTheme="minorHAnsi" w:hAnsiTheme="minorHAnsi" w:cs="Arial"/>
          <w:sz w:val="20"/>
          <w:szCs w:val="20"/>
        </w:rPr>
      </w:pPr>
      <w:r>
        <w:rPr>
          <w:noProof/>
          <w:szCs w:val="20"/>
        </w:rPr>
        <w:drawing>
          <wp:anchor distT="0" distB="0" distL="114300" distR="114300" simplePos="0" relativeHeight="251637248" behindDoc="1" locked="0" layoutInCell="1" allowOverlap="1">
            <wp:simplePos x="0" y="0"/>
            <wp:positionH relativeFrom="column">
              <wp:posOffset>-408940</wp:posOffset>
            </wp:positionH>
            <wp:positionV relativeFrom="paragraph">
              <wp:posOffset>-1270</wp:posOffset>
            </wp:positionV>
            <wp:extent cx="3524250" cy="2095500"/>
            <wp:effectExtent l="19050" t="0" r="0"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524250" cy="2095500"/>
                    </a:xfrm>
                    <a:prstGeom prst="rect">
                      <a:avLst/>
                    </a:prstGeom>
                    <a:noFill/>
                    <a:ln w="9525">
                      <a:noFill/>
                      <a:miter lim="800000"/>
                      <a:headEnd/>
                      <a:tailEnd/>
                    </a:ln>
                  </pic:spPr>
                </pic:pic>
              </a:graphicData>
            </a:graphic>
          </wp:anchor>
        </w:drawing>
      </w:r>
      <w:r>
        <w:rPr>
          <w:noProof/>
          <w:szCs w:val="20"/>
        </w:rPr>
        <w:drawing>
          <wp:anchor distT="0" distB="0" distL="114300" distR="114300" simplePos="0" relativeHeight="251638272" behindDoc="1" locked="0" layoutInCell="1" allowOverlap="1">
            <wp:simplePos x="0" y="0"/>
            <wp:positionH relativeFrom="column">
              <wp:posOffset>3115310</wp:posOffset>
            </wp:positionH>
            <wp:positionV relativeFrom="paragraph">
              <wp:posOffset>-1270</wp:posOffset>
            </wp:positionV>
            <wp:extent cx="3457575" cy="2124075"/>
            <wp:effectExtent l="19050" t="0" r="9525" b="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457575" cy="2124075"/>
                    </a:xfrm>
                    <a:prstGeom prst="rect">
                      <a:avLst/>
                    </a:prstGeom>
                    <a:noFill/>
                    <a:ln w="9525">
                      <a:noFill/>
                      <a:miter lim="800000"/>
                      <a:headEnd/>
                      <a:tailEnd/>
                    </a:ln>
                  </pic:spPr>
                </pic:pic>
              </a:graphicData>
            </a:graphic>
          </wp:anchor>
        </w:drawing>
      </w:r>
    </w:p>
    <w:p w:rsidR="00304403" w:rsidRDefault="00304403" w:rsidP="00304403">
      <w:pPr>
        <w:ind w:left="-510"/>
        <w:rPr>
          <w:rFonts w:asciiTheme="minorHAnsi" w:hAnsiTheme="minorHAnsi" w:cs="Arial"/>
          <w:sz w:val="20"/>
          <w:szCs w:val="20"/>
        </w:rPr>
      </w:pPr>
    </w:p>
    <w:p w:rsidR="00304403" w:rsidRDefault="00304403" w:rsidP="00304403">
      <w:pPr>
        <w:ind w:left="-510"/>
        <w:rPr>
          <w:rFonts w:asciiTheme="minorHAnsi" w:hAnsiTheme="minorHAnsi" w:cs="Arial"/>
          <w:sz w:val="20"/>
          <w:szCs w:val="20"/>
        </w:rPr>
      </w:pPr>
    </w:p>
    <w:p w:rsidR="00304403" w:rsidRDefault="00304403" w:rsidP="00304403">
      <w:pPr>
        <w:ind w:left="-510"/>
        <w:rPr>
          <w:rFonts w:asciiTheme="minorHAnsi" w:hAnsiTheme="minorHAnsi" w:cs="Arial"/>
          <w:sz w:val="20"/>
          <w:szCs w:val="20"/>
        </w:rPr>
      </w:pPr>
    </w:p>
    <w:p w:rsidR="00304403" w:rsidRDefault="00304403" w:rsidP="00304403">
      <w:pPr>
        <w:ind w:left="-510"/>
        <w:rPr>
          <w:rFonts w:asciiTheme="minorHAnsi" w:hAnsiTheme="minorHAnsi" w:cs="Arial"/>
          <w:sz w:val="20"/>
          <w:szCs w:val="20"/>
        </w:rPr>
      </w:pPr>
    </w:p>
    <w:p w:rsidR="00304403" w:rsidRDefault="00304403" w:rsidP="00304403">
      <w:pPr>
        <w:ind w:left="-510"/>
        <w:rPr>
          <w:rFonts w:asciiTheme="minorHAnsi" w:hAnsiTheme="minorHAnsi" w:cs="Arial"/>
          <w:sz w:val="20"/>
          <w:szCs w:val="20"/>
        </w:rPr>
      </w:pPr>
    </w:p>
    <w:p w:rsidR="00304403" w:rsidRDefault="00304403" w:rsidP="00304403">
      <w:pPr>
        <w:ind w:left="-510"/>
        <w:rPr>
          <w:rFonts w:asciiTheme="minorHAnsi" w:hAnsiTheme="minorHAnsi" w:cs="Arial"/>
          <w:sz w:val="20"/>
          <w:szCs w:val="20"/>
        </w:rPr>
      </w:pPr>
    </w:p>
    <w:p w:rsidR="00304403" w:rsidRDefault="00304403" w:rsidP="00304403">
      <w:pPr>
        <w:ind w:left="-510"/>
        <w:rPr>
          <w:rFonts w:asciiTheme="minorHAnsi" w:hAnsiTheme="minorHAnsi" w:cs="Arial"/>
          <w:sz w:val="20"/>
          <w:szCs w:val="20"/>
        </w:rPr>
      </w:pPr>
    </w:p>
    <w:p w:rsidR="00304403" w:rsidRDefault="00304403" w:rsidP="00304403">
      <w:pPr>
        <w:ind w:left="-510"/>
        <w:rPr>
          <w:rFonts w:asciiTheme="minorHAnsi" w:hAnsiTheme="minorHAnsi" w:cs="Arial"/>
          <w:sz w:val="20"/>
          <w:szCs w:val="20"/>
        </w:rPr>
      </w:pPr>
    </w:p>
    <w:p w:rsidR="00304403" w:rsidRDefault="00304403" w:rsidP="00304403">
      <w:pPr>
        <w:ind w:left="-510"/>
        <w:rPr>
          <w:rFonts w:asciiTheme="minorHAnsi" w:hAnsiTheme="minorHAnsi" w:cs="Arial"/>
          <w:sz w:val="20"/>
          <w:szCs w:val="20"/>
        </w:rPr>
      </w:pPr>
    </w:p>
    <w:p w:rsidR="00304403" w:rsidRDefault="00304403" w:rsidP="00304403">
      <w:pPr>
        <w:ind w:left="-510"/>
        <w:rPr>
          <w:rFonts w:asciiTheme="minorHAnsi" w:hAnsiTheme="minorHAnsi" w:cs="Arial"/>
          <w:sz w:val="20"/>
          <w:szCs w:val="20"/>
        </w:rPr>
      </w:pPr>
    </w:p>
    <w:p w:rsidR="00304403" w:rsidRDefault="00304403" w:rsidP="00304403">
      <w:pPr>
        <w:ind w:left="-510"/>
        <w:rPr>
          <w:rFonts w:asciiTheme="minorHAnsi" w:hAnsiTheme="minorHAnsi" w:cs="Arial"/>
          <w:sz w:val="20"/>
          <w:szCs w:val="20"/>
        </w:rPr>
      </w:pPr>
    </w:p>
    <w:p w:rsidR="00304403" w:rsidRDefault="00304403" w:rsidP="00304403">
      <w:pPr>
        <w:ind w:left="-510"/>
        <w:rPr>
          <w:rFonts w:asciiTheme="minorHAnsi" w:hAnsiTheme="minorHAnsi" w:cs="Arial"/>
          <w:sz w:val="20"/>
          <w:szCs w:val="20"/>
        </w:rPr>
      </w:pPr>
    </w:p>
    <w:p w:rsidR="00304403" w:rsidRDefault="00304403" w:rsidP="00920931">
      <w:pPr>
        <w:rPr>
          <w:rFonts w:asciiTheme="minorHAnsi" w:hAnsiTheme="minorHAnsi" w:cs="Arial"/>
          <w:sz w:val="20"/>
          <w:szCs w:val="20"/>
        </w:rPr>
      </w:pPr>
    </w:p>
    <w:p w:rsidR="00D56560" w:rsidRPr="00304403" w:rsidRDefault="00D56560" w:rsidP="00366A2D">
      <w:pPr>
        <w:numPr>
          <w:ilvl w:val="0"/>
          <w:numId w:val="20"/>
        </w:numPr>
        <w:spacing w:line="276" w:lineRule="auto"/>
        <w:ind w:left="-284" w:firstLine="0"/>
        <w:jc w:val="both"/>
        <w:rPr>
          <w:rFonts w:ascii="Calibri" w:hAnsi="Calibri" w:cs="Arial"/>
          <w:bCs/>
          <w:sz w:val="22"/>
          <w:szCs w:val="22"/>
        </w:rPr>
      </w:pPr>
      <w:r w:rsidRPr="00304403">
        <w:rPr>
          <w:rFonts w:ascii="Calibri" w:hAnsi="Calibri" w:cs="Arial"/>
          <w:bCs/>
          <w:sz w:val="22"/>
          <w:szCs w:val="22"/>
        </w:rPr>
        <w:t xml:space="preserve">Dynamiczny rozwój banku widoczny jest w przyroście należności od sektora niefinansowego i budżetowego, który w ciągu roku wzrósł o 7,6%. </w:t>
      </w:r>
      <w:r w:rsidRPr="00304403">
        <w:rPr>
          <w:rFonts w:ascii="Calibri" w:hAnsi="Calibri" w:cs="Arial"/>
          <w:b/>
          <w:bCs/>
          <w:sz w:val="22"/>
          <w:szCs w:val="22"/>
        </w:rPr>
        <w:t>Zwiększenie akcji kredytowej częściowo zneutralizowało negatywny wpływ spadku stóp procentowych</w:t>
      </w:r>
      <w:r w:rsidRPr="00304403">
        <w:rPr>
          <w:rFonts w:ascii="Calibri" w:hAnsi="Calibri" w:cs="Arial"/>
          <w:bCs/>
          <w:sz w:val="22"/>
          <w:szCs w:val="22"/>
        </w:rPr>
        <w:t xml:space="preserve"> i choć przychody odsetkowe były niższe to w warunkach silniejszego obniżenia kosztów odsetkowych pozwoliło to na poprawę wyniku odsetkowego. Marża odsetkowa netto banku spadła do 1,68% (z 1,80%); </w:t>
      </w:r>
    </w:p>
    <w:p w:rsidR="00D56560" w:rsidRPr="00304403" w:rsidRDefault="00D56560" w:rsidP="00366A2D">
      <w:pPr>
        <w:numPr>
          <w:ilvl w:val="0"/>
          <w:numId w:val="20"/>
        </w:numPr>
        <w:spacing w:line="276" w:lineRule="auto"/>
        <w:ind w:left="-284" w:firstLine="0"/>
        <w:jc w:val="both"/>
        <w:rPr>
          <w:rFonts w:ascii="Calibri" w:hAnsi="Calibri" w:cs="Arial"/>
          <w:bCs/>
          <w:sz w:val="22"/>
          <w:szCs w:val="22"/>
        </w:rPr>
      </w:pPr>
      <w:r w:rsidRPr="00304403">
        <w:rPr>
          <w:rFonts w:ascii="Calibri" w:hAnsi="Calibri" w:cs="Arial"/>
          <w:bCs/>
          <w:sz w:val="22"/>
          <w:szCs w:val="22"/>
        </w:rPr>
        <w:t xml:space="preserve">Znacząca poprawa wyniku prowizyjnego umożliwiła wypracowanie wyższego niż przed rokiem zysku na działalności bankowej, co w warunkach obniżenia kosztów działania banku pozwoliło na poprawienie efektywności kosztowej banku. </w:t>
      </w:r>
      <w:r w:rsidRPr="00304403">
        <w:rPr>
          <w:rFonts w:ascii="Calibri" w:hAnsi="Calibri" w:cs="Arial"/>
          <w:b/>
          <w:bCs/>
          <w:sz w:val="22"/>
          <w:szCs w:val="22"/>
        </w:rPr>
        <w:t>Relacja kosztów do dochodów wynosi 68,9%, czyli w dalszym ciągu jest stosunkowo wysoka, ale uległa poprawie</w:t>
      </w:r>
      <w:r w:rsidRPr="00304403">
        <w:rPr>
          <w:rFonts w:ascii="Calibri" w:hAnsi="Calibri" w:cs="Arial"/>
          <w:bCs/>
          <w:sz w:val="22"/>
          <w:szCs w:val="22"/>
        </w:rPr>
        <w:t>;</w:t>
      </w:r>
    </w:p>
    <w:p w:rsidR="00D56560" w:rsidRPr="00304403" w:rsidRDefault="00D56560" w:rsidP="00366A2D">
      <w:pPr>
        <w:numPr>
          <w:ilvl w:val="0"/>
          <w:numId w:val="20"/>
        </w:numPr>
        <w:spacing w:line="276" w:lineRule="auto"/>
        <w:ind w:left="-284" w:firstLine="0"/>
        <w:jc w:val="both"/>
        <w:rPr>
          <w:rFonts w:ascii="Calibri" w:hAnsi="Calibri" w:cs="Arial"/>
          <w:bCs/>
          <w:sz w:val="22"/>
          <w:szCs w:val="22"/>
        </w:rPr>
      </w:pPr>
      <w:r w:rsidRPr="00304403">
        <w:rPr>
          <w:rFonts w:ascii="Calibri" w:hAnsi="Calibri" w:cs="Arial"/>
          <w:b/>
          <w:bCs/>
          <w:sz w:val="22"/>
          <w:szCs w:val="22"/>
        </w:rPr>
        <w:t>Zwiększone odpisy nie pozwoliły na poprawę wyniku brutto</w:t>
      </w:r>
      <w:r w:rsidRPr="00304403">
        <w:rPr>
          <w:rFonts w:ascii="Calibri" w:hAnsi="Calibri" w:cs="Arial"/>
          <w:bCs/>
          <w:sz w:val="22"/>
          <w:szCs w:val="22"/>
        </w:rPr>
        <w:t xml:space="preserve"> i pod wpływem wyższych kosztów ryzyka wynik brutto uległ obniżeniu;</w:t>
      </w:r>
    </w:p>
    <w:p w:rsidR="00D56560" w:rsidRPr="00304403" w:rsidRDefault="00D56560" w:rsidP="00366A2D">
      <w:pPr>
        <w:numPr>
          <w:ilvl w:val="0"/>
          <w:numId w:val="20"/>
        </w:numPr>
        <w:spacing w:line="276" w:lineRule="auto"/>
        <w:ind w:left="-284" w:firstLine="0"/>
        <w:jc w:val="both"/>
        <w:rPr>
          <w:rFonts w:ascii="Calibri" w:hAnsi="Calibri" w:cs="Arial"/>
          <w:bCs/>
          <w:sz w:val="22"/>
          <w:szCs w:val="22"/>
        </w:rPr>
      </w:pPr>
      <w:r w:rsidRPr="00304403">
        <w:rPr>
          <w:rFonts w:ascii="Calibri" w:hAnsi="Calibri" w:cs="Arial"/>
          <w:bCs/>
          <w:sz w:val="22"/>
          <w:szCs w:val="22"/>
        </w:rPr>
        <w:t>Blisko 50% aktywów banku stanowią dłużne papiery wartościowe (10,0 mld PLN), w tym głównie papiery banków (6,2 mld PLN) oraz skarbowe i JST (3,5 mld PLN). Wysoki udział tych papierów wynika ze specyfiki banku zrzeszającego, który zarządza nadwyżkami finansowymi banków spółdzielczych wchodzących w skład zrzeszenia;</w:t>
      </w:r>
    </w:p>
    <w:p w:rsidR="00D56560" w:rsidRPr="00304403" w:rsidRDefault="00D56560" w:rsidP="00366A2D">
      <w:pPr>
        <w:numPr>
          <w:ilvl w:val="0"/>
          <w:numId w:val="20"/>
        </w:numPr>
        <w:spacing w:line="276" w:lineRule="auto"/>
        <w:ind w:left="-284" w:firstLine="0"/>
        <w:jc w:val="both"/>
        <w:rPr>
          <w:rFonts w:ascii="Calibri" w:hAnsi="Calibri" w:cs="Arial"/>
          <w:bCs/>
          <w:sz w:val="22"/>
          <w:szCs w:val="22"/>
        </w:rPr>
      </w:pPr>
      <w:r w:rsidRPr="00304403">
        <w:rPr>
          <w:rFonts w:ascii="Calibri" w:hAnsi="Calibri" w:cs="Arial"/>
          <w:b/>
          <w:bCs/>
          <w:sz w:val="22"/>
          <w:szCs w:val="22"/>
        </w:rPr>
        <w:t>Bank nie poinformował o strukturze kredytów i ich jakości</w:t>
      </w:r>
      <w:r w:rsidRPr="00304403">
        <w:rPr>
          <w:rFonts w:ascii="Calibri" w:hAnsi="Calibri" w:cs="Arial"/>
          <w:bCs/>
          <w:sz w:val="22"/>
          <w:szCs w:val="22"/>
        </w:rPr>
        <w:t xml:space="preserve">; </w:t>
      </w:r>
    </w:p>
    <w:p w:rsidR="00D56560" w:rsidRPr="00304403" w:rsidRDefault="00D56560" w:rsidP="00366A2D">
      <w:pPr>
        <w:pStyle w:val="Akapitzlist"/>
        <w:numPr>
          <w:ilvl w:val="0"/>
          <w:numId w:val="20"/>
        </w:numPr>
        <w:ind w:left="-284" w:firstLine="0"/>
        <w:jc w:val="both"/>
        <w:rPr>
          <w:rFonts w:asciiTheme="minorHAnsi" w:hAnsiTheme="minorHAnsi" w:cs="Arial"/>
        </w:rPr>
      </w:pPr>
      <w:r w:rsidRPr="00304403">
        <w:rPr>
          <w:rFonts w:cs="Arial"/>
          <w:bCs/>
        </w:rPr>
        <w:t>Współczynnik wypłacalności na zakończenie 1H’13 wyniósł 10,2% i był wyższy niż przed rokiem o 0,7 pp. W dalszym ciągu pozostaje poniżej wartości rekomendowanej przez KNF</w:t>
      </w:r>
      <w:r>
        <w:rPr>
          <w:rFonts w:cs="Arial"/>
          <w:bCs/>
        </w:rPr>
        <w:t>.</w:t>
      </w:r>
    </w:p>
    <w:p w:rsidR="00304403" w:rsidRDefault="00304403" w:rsidP="00304403">
      <w:pPr>
        <w:ind w:left="-510"/>
        <w:rPr>
          <w:rFonts w:asciiTheme="minorHAnsi" w:hAnsiTheme="minorHAnsi" w:cs="Arial"/>
          <w:sz w:val="20"/>
          <w:szCs w:val="20"/>
        </w:rPr>
      </w:pPr>
    </w:p>
    <w:p w:rsidR="00304403" w:rsidRDefault="00304403">
      <w:pPr>
        <w:rPr>
          <w:rFonts w:asciiTheme="minorHAnsi" w:hAnsiTheme="minorHAnsi" w:cs="Arial"/>
          <w:sz w:val="20"/>
          <w:szCs w:val="20"/>
        </w:rPr>
      </w:pPr>
    </w:p>
    <w:p w:rsidR="00304403" w:rsidRDefault="00304403">
      <w:pPr>
        <w:rPr>
          <w:rFonts w:asciiTheme="minorHAnsi" w:hAnsiTheme="minorHAnsi" w:cs="Arial"/>
          <w:sz w:val="20"/>
          <w:szCs w:val="20"/>
        </w:rPr>
      </w:pPr>
    </w:p>
    <w:p w:rsidR="00304403" w:rsidRDefault="00304403">
      <w:pPr>
        <w:rPr>
          <w:rFonts w:asciiTheme="minorHAnsi" w:hAnsiTheme="minorHAnsi" w:cs="Arial"/>
          <w:sz w:val="20"/>
          <w:szCs w:val="20"/>
        </w:rPr>
      </w:pPr>
    </w:p>
    <w:p w:rsidR="00304403" w:rsidRDefault="00304403">
      <w:pPr>
        <w:rPr>
          <w:rFonts w:asciiTheme="minorHAnsi" w:hAnsiTheme="minorHAnsi" w:cs="Arial"/>
          <w:sz w:val="20"/>
          <w:szCs w:val="20"/>
        </w:rPr>
      </w:pPr>
    </w:p>
    <w:p w:rsidR="00304403" w:rsidRDefault="00304403">
      <w:pPr>
        <w:rPr>
          <w:rFonts w:asciiTheme="minorHAnsi" w:hAnsiTheme="minorHAnsi" w:cs="Arial"/>
          <w:sz w:val="20"/>
          <w:szCs w:val="20"/>
        </w:rPr>
      </w:pPr>
    </w:p>
    <w:p w:rsidR="00304403" w:rsidRDefault="00304403">
      <w:pPr>
        <w:rPr>
          <w:rFonts w:asciiTheme="minorHAnsi" w:hAnsiTheme="minorHAnsi" w:cs="Arial"/>
          <w:sz w:val="20"/>
          <w:szCs w:val="20"/>
        </w:rPr>
      </w:pPr>
    </w:p>
    <w:p w:rsidR="00304403" w:rsidRDefault="00304403">
      <w:pPr>
        <w:rPr>
          <w:rFonts w:asciiTheme="minorHAnsi" w:hAnsiTheme="minorHAnsi" w:cs="Arial"/>
          <w:sz w:val="20"/>
          <w:szCs w:val="20"/>
        </w:rPr>
      </w:pPr>
    </w:p>
    <w:p w:rsidR="00304403" w:rsidRDefault="00304403">
      <w:pPr>
        <w:rPr>
          <w:rFonts w:asciiTheme="minorHAnsi" w:hAnsiTheme="minorHAnsi" w:cs="Arial"/>
          <w:sz w:val="20"/>
          <w:szCs w:val="20"/>
        </w:rPr>
      </w:pPr>
    </w:p>
    <w:p w:rsidR="00304403" w:rsidRPr="00636E50" w:rsidRDefault="00304403" w:rsidP="00636E50">
      <w:pPr>
        <w:pStyle w:val="Nagwek1"/>
      </w:pPr>
      <w:bookmarkStart w:id="2" w:name="_Toc368572352"/>
      <w:r w:rsidRPr="00636E50">
        <w:lastRenderedPageBreak/>
        <w:t>PODKARPACKI BANK SPÓŁDZIELCZY</w:t>
      </w:r>
      <w:bookmarkEnd w:id="2"/>
    </w:p>
    <w:p w:rsidR="005C0E72" w:rsidRPr="00366A2D" w:rsidRDefault="005C0E72" w:rsidP="00304403">
      <w:pPr>
        <w:tabs>
          <w:tab w:val="left" w:pos="6960"/>
        </w:tabs>
        <w:ind w:left="-510"/>
        <w:rPr>
          <w:rFonts w:asciiTheme="minorHAnsi" w:hAnsiTheme="minorHAnsi" w:cs="Arial"/>
          <w:sz w:val="22"/>
          <w:szCs w:val="22"/>
        </w:rPr>
      </w:pPr>
    </w:p>
    <w:tbl>
      <w:tblPr>
        <w:tblW w:w="3979" w:type="dxa"/>
        <w:tblInd w:w="60" w:type="dxa"/>
        <w:tblCellMar>
          <w:left w:w="70" w:type="dxa"/>
          <w:right w:w="70" w:type="dxa"/>
        </w:tblCellMar>
        <w:tblLook w:val="04A0"/>
      </w:tblPr>
      <w:tblGrid>
        <w:gridCol w:w="2600"/>
        <w:gridCol w:w="546"/>
        <w:gridCol w:w="833"/>
      </w:tblGrid>
      <w:tr w:rsidR="00E3275A" w:rsidTr="00E3275A">
        <w:trPr>
          <w:trHeight w:val="252"/>
        </w:trPr>
        <w:tc>
          <w:tcPr>
            <w:tcW w:w="2600" w:type="dxa"/>
            <w:tcBorders>
              <w:top w:val="single" w:sz="8" w:space="0" w:color="FFFFFF"/>
              <w:left w:val="single" w:sz="8" w:space="0" w:color="FFFFFF"/>
              <w:bottom w:val="single" w:sz="8" w:space="0" w:color="1EAA82"/>
              <w:right w:val="nil"/>
            </w:tcBorders>
            <w:shd w:val="clear" w:color="000000" w:fill="FFFFFF"/>
            <w:vAlign w:val="center"/>
            <w:hideMark/>
          </w:tcPr>
          <w:p w:rsidR="00E3275A" w:rsidRDefault="00E3275A" w:rsidP="00E3275A">
            <w:pPr>
              <w:rPr>
                <w:rFonts w:ascii="Calibri" w:hAnsi="Calibri" w:cs="Calibri"/>
                <w:b/>
                <w:bCs/>
                <w:color w:val="000000"/>
                <w:sz w:val="18"/>
                <w:szCs w:val="18"/>
              </w:rPr>
            </w:pPr>
            <w:r>
              <w:rPr>
                <w:rFonts w:ascii="Calibri" w:hAnsi="Calibri" w:cs="Calibri"/>
                <w:b/>
                <w:bCs/>
                <w:color w:val="000000"/>
                <w:sz w:val="18"/>
                <w:szCs w:val="18"/>
              </w:rPr>
              <w:t>Podstawowe dane</w:t>
            </w:r>
          </w:p>
        </w:tc>
        <w:tc>
          <w:tcPr>
            <w:tcW w:w="546" w:type="dxa"/>
            <w:tcBorders>
              <w:top w:val="single" w:sz="8" w:space="0" w:color="FFFFFF"/>
              <w:left w:val="nil"/>
              <w:bottom w:val="single" w:sz="8" w:space="0" w:color="1EAA82"/>
              <w:right w:val="single" w:sz="8" w:space="0" w:color="FFFFFF"/>
            </w:tcBorders>
            <w:shd w:val="clear" w:color="000000" w:fill="FFFFFF"/>
            <w:vAlign w:val="center"/>
            <w:hideMark/>
          </w:tcPr>
          <w:p w:rsidR="00E3275A" w:rsidRDefault="00E3275A" w:rsidP="00E3275A">
            <w:pPr>
              <w:jc w:val="right"/>
              <w:rPr>
                <w:rFonts w:ascii="Calibri" w:hAnsi="Calibri" w:cs="Calibri"/>
                <w:b/>
                <w:bCs/>
                <w:color w:val="000000"/>
                <w:sz w:val="18"/>
                <w:szCs w:val="18"/>
              </w:rPr>
            </w:pPr>
            <w:r>
              <w:rPr>
                <w:rFonts w:ascii="Calibri" w:hAnsi="Calibri" w:cs="Calibri"/>
                <w:b/>
                <w:bCs/>
                <w:color w:val="000000"/>
                <w:sz w:val="18"/>
                <w:szCs w:val="18"/>
              </w:rPr>
              <w:t>2012 </w:t>
            </w:r>
          </w:p>
        </w:tc>
        <w:tc>
          <w:tcPr>
            <w:tcW w:w="833" w:type="dxa"/>
            <w:tcBorders>
              <w:top w:val="single" w:sz="8" w:space="0" w:color="FFFFFF"/>
              <w:left w:val="nil"/>
              <w:bottom w:val="single" w:sz="8" w:space="0" w:color="1EAA82"/>
              <w:right w:val="single" w:sz="8" w:space="0" w:color="FFFFFF"/>
            </w:tcBorders>
            <w:shd w:val="clear" w:color="000000" w:fill="FFFFFF"/>
          </w:tcPr>
          <w:p w:rsidR="00E3275A" w:rsidRDefault="00E3275A" w:rsidP="00E3275A">
            <w:pPr>
              <w:jc w:val="right"/>
              <w:rPr>
                <w:rFonts w:ascii="Calibri" w:hAnsi="Calibri" w:cs="Calibri"/>
                <w:b/>
                <w:bCs/>
                <w:color w:val="000000"/>
                <w:sz w:val="18"/>
                <w:szCs w:val="18"/>
              </w:rPr>
            </w:pPr>
            <w:r>
              <w:rPr>
                <w:rFonts w:ascii="Calibri" w:hAnsi="Calibri" w:cs="Calibri"/>
                <w:b/>
                <w:bCs/>
                <w:color w:val="000000"/>
                <w:sz w:val="18"/>
                <w:szCs w:val="18"/>
              </w:rPr>
              <w:t>1H’13</w:t>
            </w:r>
          </w:p>
        </w:tc>
      </w:tr>
      <w:tr w:rsidR="00E3275A" w:rsidTr="00E3275A">
        <w:trPr>
          <w:trHeight w:val="240"/>
        </w:trPr>
        <w:tc>
          <w:tcPr>
            <w:tcW w:w="2600" w:type="dxa"/>
            <w:tcBorders>
              <w:top w:val="nil"/>
              <w:left w:val="nil"/>
              <w:bottom w:val="nil"/>
              <w:right w:val="nil"/>
            </w:tcBorders>
            <w:shd w:val="clear" w:color="000000" w:fill="FFFFFF"/>
            <w:vAlign w:val="center"/>
            <w:hideMark/>
          </w:tcPr>
          <w:p w:rsidR="00E3275A" w:rsidRDefault="00E3275A" w:rsidP="00E3275A">
            <w:pPr>
              <w:rPr>
                <w:rFonts w:ascii="Calibri" w:hAnsi="Calibri" w:cs="Calibri"/>
                <w:color w:val="000000"/>
                <w:sz w:val="18"/>
                <w:szCs w:val="18"/>
              </w:rPr>
            </w:pPr>
            <w:r>
              <w:rPr>
                <w:rFonts w:ascii="Calibri" w:hAnsi="Calibri" w:cs="Calibri"/>
                <w:color w:val="000000"/>
                <w:sz w:val="18"/>
                <w:szCs w:val="18"/>
              </w:rPr>
              <w:t>Suma bilansowa [mln PLN]</w:t>
            </w:r>
          </w:p>
        </w:tc>
        <w:tc>
          <w:tcPr>
            <w:tcW w:w="546" w:type="dxa"/>
            <w:tcBorders>
              <w:top w:val="nil"/>
              <w:left w:val="nil"/>
              <w:bottom w:val="nil"/>
              <w:right w:val="nil"/>
            </w:tcBorders>
            <w:shd w:val="clear" w:color="000000" w:fill="FFFFFF"/>
            <w:vAlign w:val="center"/>
          </w:tcPr>
          <w:p w:rsidR="00E3275A" w:rsidRDefault="00AC45AD" w:rsidP="00E3275A">
            <w:pPr>
              <w:jc w:val="right"/>
              <w:rPr>
                <w:rFonts w:ascii="Calibri" w:hAnsi="Calibri" w:cs="Calibri"/>
                <w:color w:val="000000"/>
                <w:sz w:val="18"/>
                <w:szCs w:val="18"/>
              </w:rPr>
            </w:pPr>
            <w:r>
              <w:rPr>
                <w:rFonts w:ascii="Calibri" w:hAnsi="Calibri" w:cs="Calibri"/>
                <w:color w:val="000000"/>
                <w:sz w:val="18"/>
                <w:szCs w:val="18"/>
              </w:rPr>
              <w:t>2 237</w:t>
            </w:r>
          </w:p>
        </w:tc>
        <w:tc>
          <w:tcPr>
            <w:tcW w:w="833" w:type="dxa"/>
            <w:tcBorders>
              <w:top w:val="nil"/>
              <w:left w:val="nil"/>
              <w:bottom w:val="nil"/>
              <w:right w:val="nil"/>
            </w:tcBorders>
            <w:shd w:val="clear" w:color="000000" w:fill="FFFFFF"/>
          </w:tcPr>
          <w:p w:rsidR="00E3275A" w:rsidRDefault="00E218C6" w:rsidP="00E3275A">
            <w:pPr>
              <w:jc w:val="right"/>
              <w:rPr>
                <w:rFonts w:ascii="Calibri" w:hAnsi="Calibri" w:cs="Calibri"/>
                <w:color w:val="000000"/>
                <w:sz w:val="18"/>
                <w:szCs w:val="18"/>
              </w:rPr>
            </w:pPr>
            <w:r>
              <w:rPr>
                <w:rFonts w:ascii="Calibri" w:hAnsi="Calibri" w:cs="Calibri"/>
                <w:color w:val="000000"/>
                <w:sz w:val="18"/>
                <w:szCs w:val="18"/>
              </w:rPr>
              <w:t>2 455</w:t>
            </w:r>
          </w:p>
        </w:tc>
      </w:tr>
      <w:tr w:rsidR="00E3275A" w:rsidTr="00E3275A">
        <w:trPr>
          <w:trHeight w:val="240"/>
        </w:trPr>
        <w:tc>
          <w:tcPr>
            <w:tcW w:w="2600" w:type="dxa"/>
            <w:tcBorders>
              <w:top w:val="nil"/>
              <w:left w:val="nil"/>
              <w:bottom w:val="nil"/>
              <w:right w:val="nil"/>
            </w:tcBorders>
            <w:shd w:val="clear" w:color="000000" w:fill="FFFFFF"/>
            <w:vAlign w:val="center"/>
            <w:hideMark/>
          </w:tcPr>
          <w:p w:rsidR="00E3275A" w:rsidRDefault="00E3275A" w:rsidP="00E3275A">
            <w:pPr>
              <w:rPr>
                <w:rFonts w:ascii="Calibri" w:hAnsi="Calibri" w:cs="Calibri"/>
                <w:color w:val="000000"/>
                <w:sz w:val="18"/>
                <w:szCs w:val="18"/>
              </w:rPr>
            </w:pPr>
            <w:r>
              <w:rPr>
                <w:rFonts w:ascii="Calibri" w:hAnsi="Calibri" w:cs="Calibri"/>
                <w:color w:val="000000"/>
                <w:sz w:val="18"/>
                <w:szCs w:val="18"/>
              </w:rPr>
              <w:t>Kapitały własne [mln PLN]</w:t>
            </w:r>
          </w:p>
        </w:tc>
        <w:tc>
          <w:tcPr>
            <w:tcW w:w="546" w:type="dxa"/>
            <w:tcBorders>
              <w:top w:val="nil"/>
              <w:left w:val="nil"/>
              <w:bottom w:val="nil"/>
              <w:right w:val="nil"/>
            </w:tcBorders>
            <w:shd w:val="clear" w:color="000000" w:fill="FFFFFF"/>
            <w:vAlign w:val="center"/>
          </w:tcPr>
          <w:p w:rsidR="00E3275A" w:rsidRDefault="00AC45AD" w:rsidP="00E3275A">
            <w:pPr>
              <w:jc w:val="right"/>
              <w:rPr>
                <w:rFonts w:ascii="Calibri" w:hAnsi="Calibri" w:cs="Calibri"/>
                <w:color w:val="000000"/>
                <w:sz w:val="18"/>
                <w:szCs w:val="18"/>
              </w:rPr>
            </w:pPr>
            <w:r>
              <w:rPr>
                <w:rFonts w:ascii="Calibri" w:hAnsi="Calibri" w:cs="Calibri"/>
                <w:color w:val="000000"/>
                <w:sz w:val="18"/>
                <w:szCs w:val="18"/>
              </w:rPr>
              <w:t>114</w:t>
            </w:r>
          </w:p>
        </w:tc>
        <w:tc>
          <w:tcPr>
            <w:tcW w:w="833" w:type="dxa"/>
            <w:tcBorders>
              <w:top w:val="nil"/>
              <w:left w:val="nil"/>
              <w:bottom w:val="nil"/>
              <w:right w:val="nil"/>
            </w:tcBorders>
            <w:shd w:val="clear" w:color="000000" w:fill="FFFFFF"/>
          </w:tcPr>
          <w:p w:rsidR="00E3275A" w:rsidRDefault="00E218C6" w:rsidP="00E3275A">
            <w:pPr>
              <w:jc w:val="right"/>
              <w:rPr>
                <w:rFonts w:ascii="Calibri" w:hAnsi="Calibri" w:cs="Calibri"/>
                <w:color w:val="000000"/>
                <w:sz w:val="18"/>
                <w:szCs w:val="18"/>
              </w:rPr>
            </w:pPr>
            <w:r>
              <w:rPr>
                <w:rFonts w:ascii="Calibri" w:hAnsi="Calibri" w:cs="Calibri"/>
                <w:color w:val="000000"/>
                <w:sz w:val="18"/>
                <w:szCs w:val="18"/>
              </w:rPr>
              <w:t>122</w:t>
            </w:r>
          </w:p>
        </w:tc>
      </w:tr>
      <w:tr w:rsidR="00E3275A" w:rsidTr="00E3275A">
        <w:trPr>
          <w:trHeight w:val="240"/>
        </w:trPr>
        <w:tc>
          <w:tcPr>
            <w:tcW w:w="2600" w:type="dxa"/>
            <w:tcBorders>
              <w:top w:val="nil"/>
              <w:left w:val="nil"/>
              <w:bottom w:val="nil"/>
              <w:right w:val="nil"/>
            </w:tcBorders>
            <w:shd w:val="clear" w:color="000000" w:fill="FFFFFF"/>
            <w:vAlign w:val="center"/>
            <w:hideMark/>
          </w:tcPr>
          <w:p w:rsidR="00E3275A" w:rsidRDefault="00E3275A" w:rsidP="00E3275A">
            <w:pPr>
              <w:rPr>
                <w:rFonts w:ascii="Calibri" w:hAnsi="Calibri" w:cs="Calibri"/>
                <w:color w:val="000000"/>
                <w:sz w:val="18"/>
                <w:szCs w:val="18"/>
              </w:rPr>
            </w:pPr>
            <w:r>
              <w:rPr>
                <w:rFonts w:ascii="Calibri" w:hAnsi="Calibri" w:cs="Calibri"/>
                <w:color w:val="000000"/>
                <w:sz w:val="18"/>
                <w:szCs w:val="18"/>
              </w:rPr>
              <w:t xml:space="preserve">Współczynnik wypłacalności [%]                      </w:t>
            </w:r>
          </w:p>
        </w:tc>
        <w:tc>
          <w:tcPr>
            <w:tcW w:w="546" w:type="dxa"/>
            <w:tcBorders>
              <w:top w:val="nil"/>
              <w:left w:val="nil"/>
              <w:bottom w:val="nil"/>
              <w:right w:val="nil"/>
            </w:tcBorders>
            <w:shd w:val="clear" w:color="000000" w:fill="FFFFFF"/>
            <w:vAlign w:val="center"/>
          </w:tcPr>
          <w:p w:rsidR="00E3275A" w:rsidRDefault="00AC45AD" w:rsidP="00E3275A">
            <w:pPr>
              <w:jc w:val="right"/>
              <w:rPr>
                <w:rFonts w:ascii="Calibri" w:hAnsi="Calibri" w:cs="Calibri"/>
                <w:color w:val="000000"/>
                <w:sz w:val="18"/>
                <w:szCs w:val="18"/>
              </w:rPr>
            </w:pPr>
            <w:r>
              <w:rPr>
                <w:rFonts w:ascii="Calibri" w:hAnsi="Calibri" w:cs="Calibri"/>
                <w:color w:val="000000"/>
                <w:sz w:val="18"/>
                <w:szCs w:val="18"/>
              </w:rPr>
              <w:t>9,3</w:t>
            </w:r>
          </w:p>
        </w:tc>
        <w:tc>
          <w:tcPr>
            <w:tcW w:w="833" w:type="dxa"/>
            <w:tcBorders>
              <w:top w:val="nil"/>
              <w:left w:val="nil"/>
              <w:bottom w:val="nil"/>
              <w:right w:val="nil"/>
            </w:tcBorders>
            <w:shd w:val="clear" w:color="000000" w:fill="FFFFFF"/>
          </w:tcPr>
          <w:p w:rsidR="00E3275A" w:rsidRDefault="00E218C6" w:rsidP="00E3275A">
            <w:pPr>
              <w:jc w:val="right"/>
              <w:rPr>
                <w:rFonts w:ascii="Calibri" w:hAnsi="Calibri" w:cs="Calibri"/>
                <w:color w:val="000000"/>
                <w:sz w:val="18"/>
                <w:szCs w:val="18"/>
              </w:rPr>
            </w:pPr>
            <w:r>
              <w:rPr>
                <w:rFonts w:ascii="Calibri" w:hAnsi="Calibri" w:cs="Calibri"/>
                <w:color w:val="000000"/>
                <w:sz w:val="18"/>
                <w:szCs w:val="18"/>
              </w:rPr>
              <w:t>9,3</w:t>
            </w:r>
          </w:p>
        </w:tc>
      </w:tr>
      <w:tr w:rsidR="00E3275A" w:rsidTr="00E3275A">
        <w:trPr>
          <w:trHeight w:val="240"/>
        </w:trPr>
        <w:tc>
          <w:tcPr>
            <w:tcW w:w="2600" w:type="dxa"/>
            <w:tcBorders>
              <w:top w:val="nil"/>
              <w:left w:val="nil"/>
              <w:bottom w:val="nil"/>
              <w:right w:val="nil"/>
            </w:tcBorders>
            <w:shd w:val="clear" w:color="000000" w:fill="FFFFFF"/>
            <w:vAlign w:val="center"/>
            <w:hideMark/>
          </w:tcPr>
          <w:p w:rsidR="00E3275A" w:rsidRDefault="00E3275A" w:rsidP="00E3275A">
            <w:pPr>
              <w:rPr>
                <w:rFonts w:ascii="Calibri" w:hAnsi="Calibri" w:cs="Calibri"/>
                <w:color w:val="000000"/>
                <w:sz w:val="18"/>
                <w:szCs w:val="18"/>
              </w:rPr>
            </w:pPr>
            <w:r>
              <w:rPr>
                <w:rFonts w:ascii="Calibri" w:hAnsi="Calibri" w:cs="Calibri"/>
                <w:color w:val="000000"/>
                <w:sz w:val="18"/>
                <w:szCs w:val="18"/>
              </w:rPr>
              <w:t>C/I [%]</w:t>
            </w:r>
          </w:p>
        </w:tc>
        <w:tc>
          <w:tcPr>
            <w:tcW w:w="546" w:type="dxa"/>
            <w:tcBorders>
              <w:top w:val="nil"/>
              <w:left w:val="nil"/>
              <w:bottom w:val="nil"/>
              <w:right w:val="nil"/>
            </w:tcBorders>
            <w:shd w:val="clear" w:color="000000" w:fill="FFFFFF"/>
            <w:vAlign w:val="center"/>
          </w:tcPr>
          <w:p w:rsidR="00E3275A" w:rsidRDefault="00AC45AD" w:rsidP="00E3275A">
            <w:pPr>
              <w:jc w:val="right"/>
              <w:rPr>
                <w:rFonts w:ascii="Calibri" w:hAnsi="Calibri" w:cs="Calibri"/>
                <w:color w:val="000000"/>
                <w:sz w:val="18"/>
                <w:szCs w:val="18"/>
              </w:rPr>
            </w:pPr>
            <w:r>
              <w:rPr>
                <w:rFonts w:ascii="Calibri" w:hAnsi="Calibri" w:cs="Calibri"/>
                <w:color w:val="000000"/>
                <w:sz w:val="18"/>
                <w:szCs w:val="18"/>
              </w:rPr>
              <w:t>78,4</w:t>
            </w:r>
          </w:p>
        </w:tc>
        <w:tc>
          <w:tcPr>
            <w:tcW w:w="833" w:type="dxa"/>
            <w:tcBorders>
              <w:top w:val="nil"/>
              <w:left w:val="nil"/>
              <w:bottom w:val="nil"/>
              <w:right w:val="nil"/>
            </w:tcBorders>
            <w:shd w:val="clear" w:color="000000" w:fill="FFFFFF"/>
          </w:tcPr>
          <w:p w:rsidR="00E3275A" w:rsidRDefault="00E218C6" w:rsidP="00E3275A">
            <w:pPr>
              <w:jc w:val="right"/>
              <w:rPr>
                <w:rFonts w:ascii="Calibri" w:hAnsi="Calibri" w:cs="Calibri"/>
                <w:color w:val="000000"/>
                <w:sz w:val="18"/>
                <w:szCs w:val="18"/>
              </w:rPr>
            </w:pPr>
            <w:r>
              <w:rPr>
                <w:rFonts w:ascii="Calibri" w:hAnsi="Calibri" w:cs="Calibri"/>
                <w:color w:val="000000"/>
                <w:sz w:val="18"/>
                <w:szCs w:val="18"/>
              </w:rPr>
              <w:t>77,6</w:t>
            </w:r>
          </w:p>
        </w:tc>
      </w:tr>
    </w:tbl>
    <w:p w:rsidR="00E3275A" w:rsidRPr="00366A2D" w:rsidRDefault="00E3275A" w:rsidP="00304403">
      <w:pPr>
        <w:tabs>
          <w:tab w:val="left" w:pos="6960"/>
        </w:tabs>
        <w:ind w:left="-510"/>
        <w:rPr>
          <w:rFonts w:asciiTheme="minorHAnsi" w:hAnsiTheme="minorHAnsi" w:cs="Arial"/>
          <w:sz w:val="22"/>
          <w:szCs w:val="22"/>
        </w:rPr>
      </w:pPr>
    </w:p>
    <w:p w:rsidR="00304403" w:rsidRPr="005C0E72" w:rsidRDefault="005C0E72" w:rsidP="00366A2D">
      <w:pPr>
        <w:tabs>
          <w:tab w:val="left" w:pos="6960"/>
        </w:tabs>
        <w:spacing w:line="276" w:lineRule="auto"/>
        <w:ind w:left="-426"/>
        <w:jc w:val="both"/>
        <w:rPr>
          <w:rFonts w:asciiTheme="minorHAnsi" w:hAnsiTheme="minorHAnsi" w:cs="Arial"/>
          <w:sz w:val="22"/>
          <w:szCs w:val="22"/>
        </w:rPr>
      </w:pPr>
      <w:r w:rsidRPr="005C0E72">
        <w:rPr>
          <w:rFonts w:ascii="Calibri" w:hAnsi="Calibri" w:cs="Arial"/>
          <w:b/>
          <w:bCs/>
          <w:sz w:val="22"/>
          <w:szCs w:val="22"/>
        </w:rPr>
        <w:t xml:space="preserve">Poprawa wyniku odsetkowego nie wystarczyła, aby powtórzyć wynik z ubiegłego roku. </w:t>
      </w:r>
      <w:r w:rsidRPr="005C0E72">
        <w:rPr>
          <w:rFonts w:ascii="Calibri" w:hAnsi="Calibri" w:cs="Arial"/>
          <w:bCs/>
          <w:sz w:val="22"/>
          <w:szCs w:val="22"/>
        </w:rPr>
        <w:t>Podkarpacki Bank Spółdzielczy wypracował w 1H’13 44,9 mln PLN zysku z działalności bankowej i 3,6 mln PLN zysku netto</w:t>
      </w:r>
    </w:p>
    <w:p w:rsidR="00304403" w:rsidRDefault="005C0E72" w:rsidP="00304403">
      <w:pPr>
        <w:tabs>
          <w:tab w:val="left" w:pos="6960"/>
        </w:tabs>
        <w:ind w:left="-510"/>
        <w:rPr>
          <w:rFonts w:asciiTheme="minorHAnsi" w:hAnsiTheme="minorHAnsi" w:cs="Arial"/>
          <w:sz w:val="26"/>
          <w:szCs w:val="26"/>
        </w:rPr>
      </w:pPr>
      <w:r>
        <w:rPr>
          <w:rFonts w:asciiTheme="minorHAnsi" w:hAnsiTheme="minorHAnsi" w:cs="Arial"/>
          <w:noProof/>
          <w:sz w:val="26"/>
          <w:szCs w:val="26"/>
        </w:rPr>
        <w:drawing>
          <wp:anchor distT="0" distB="0" distL="114300" distR="114300" simplePos="0" relativeHeight="251639296" behindDoc="1" locked="0" layoutInCell="1" allowOverlap="1">
            <wp:simplePos x="0" y="0"/>
            <wp:positionH relativeFrom="column">
              <wp:posOffset>3153410</wp:posOffset>
            </wp:positionH>
            <wp:positionV relativeFrom="paragraph">
              <wp:posOffset>172085</wp:posOffset>
            </wp:positionV>
            <wp:extent cx="3457575" cy="2124075"/>
            <wp:effectExtent l="19050" t="0" r="9525" b="0"/>
            <wp:wrapNone/>
            <wp:docPr id="1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457575" cy="2124075"/>
                    </a:xfrm>
                    <a:prstGeom prst="rect">
                      <a:avLst/>
                    </a:prstGeom>
                    <a:noFill/>
                    <a:ln w="9525">
                      <a:noFill/>
                      <a:miter lim="800000"/>
                      <a:headEnd/>
                      <a:tailEnd/>
                    </a:ln>
                  </pic:spPr>
                </pic:pic>
              </a:graphicData>
            </a:graphic>
          </wp:anchor>
        </w:drawing>
      </w:r>
    </w:p>
    <w:p w:rsidR="00304403" w:rsidRDefault="005C0E72" w:rsidP="00304403">
      <w:pPr>
        <w:tabs>
          <w:tab w:val="left" w:pos="6960"/>
        </w:tabs>
        <w:ind w:left="-510"/>
        <w:rPr>
          <w:rFonts w:asciiTheme="minorHAnsi" w:hAnsiTheme="minorHAnsi" w:cs="Arial"/>
          <w:sz w:val="26"/>
          <w:szCs w:val="26"/>
        </w:rPr>
      </w:pPr>
      <w:r>
        <w:rPr>
          <w:noProof/>
          <w:szCs w:val="26"/>
        </w:rPr>
        <w:drawing>
          <wp:anchor distT="0" distB="0" distL="114300" distR="114300" simplePos="0" relativeHeight="251640320" behindDoc="1" locked="0" layoutInCell="1" allowOverlap="1">
            <wp:simplePos x="0" y="0"/>
            <wp:positionH relativeFrom="column">
              <wp:posOffset>-427990</wp:posOffset>
            </wp:positionH>
            <wp:positionV relativeFrom="paragraph">
              <wp:posOffset>-635</wp:posOffset>
            </wp:positionV>
            <wp:extent cx="3524250" cy="2095500"/>
            <wp:effectExtent l="19050" t="0" r="0" b="0"/>
            <wp:wrapNone/>
            <wp:docPr id="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524250" cy="2095500"/>
                    </a:xfrm>
                    <a:prstGeom prst="rect">
                      <a:avLst/>
                    </a:prstGeom>
                    <a:noFill/>
                    <a:ln w="9525">
                      <a:noFill/>
                      <a:miter lim="800000"/>
                      <a:headEnd/>
                      <a:tailEnd/>
                    </a:ln>
                  </pic:spPr>
                </pic:pic>
              </a:graphicData>
            </a:graphic>
          </wp:anchor>
        </w:drawing>
      </w:r>
    </w:p>
    <w:p w:rsidR="005C0E72" w:rsidRDefault="005C0E72" w:rsidP="00304403">
      <w:pPr>
        <w:tabs>
          <w:tab w:val="left" w:pos="6960"/>
        </w:tabs>
        <w:ind w:left="-510"/>
        <w:rPr>
          <w:rFonts w:asciiTheme="minorHAnsi" w:hAnsiTheme="minorHAnsi" w:cs="Arial"/>
          <w:sz w:val="26"/>
          <w:szCs w:val="26"/>
        </w:rPr>
      </w:pPr>
    </w:p>
    <w:p w:rsidR="005C0E72" w:rsidRDefault="005C0E72" w:rsidP="00304403">
      <w:pPr>
        <w:tabs>
          <w:tab w:val="left" w:pos="6960"/>
        </w:tabs>
        <w:ind w:left="-510"/>
        <w:rPr>
          <w:rFonts w:asciiTheme="minorHAnsi" w:hAnsiTheme="minorHAnsi" w:cs="Arial"/>
          <w:sz w:val="26"/>
          <w:szCs w:val="26"/>
        </w:rPr>
      </w:pPr>
    </w:p>
    <w:p w:rsidR="005C0E72" w:rsidRDefault="005C0E72" w:rsidP="00304403">
      <w:pPr>
        <w:tabs>
          <w:tab w:val="left" w:pos="6960"/>
        </w:tabs>
        <w:ind w:left="-510"/>
        <w:rPr>
          <w:rFonts w:asciiTheme="minorHAnsi" w:hAnsiTheme="minorHAnsi" w:cs="Arial"/>
          <w:sz w:val="26"/>
          <w:szCs w:val="26"/>
        </w:rPr>
      </w:pPr>
    </w:p>
    <w:p w:rsidR="005C0E72" w:rsidRDefault="005C0E72" w:rsidP="00304403">
      <w:pPr>
        <w:tabs>
          <w:tab w:val="left" w:pos="6960"/>
        </w:tabs>
        <w:ind w:left="-510"/>
        <w:rPr>
          <w:rFonts w:asciiTheme="minorHAnsi" w:hAnsiTheme="minorHAnsi" w:cs="Arial"/>
          <w:sz w:val="26"/>
          <w:szCs w:val="26"/>
        </w:rPr>
      </w:pPr>
    </w:p>
    <w:p w:rsidR="005C0E72" w:rsidRDefault="005C0E72" w:rsidP="00304403">
      <w:pPr>
        <w:tabs>
          <w:tab w:val="left" w:pos="6960"/>
        </w:tabs>
        <w:ind w:left="-510"/>
        <w:rPr>
          <w:rFonts w:asciiTheme="minorHAnsi" w:hAnsiTheme="minorHAnsi" w:cs="Arial"/>
          <w:sz w:val="26"/>
          <w:szCs w:val="26"/>
        </w:rPr>
      </w:pPr>
    </w:p>
    <w:p w:rsidR="005C0E72" w:rsidRDefault="005C0E72" w:rsidP="00304403">
      <w:pPr>
        <w:tabs>
          <w:tab w:val="left" w:pos="6960"/>
        </w:tabs>
        <w:ind w:left="-510"/>
        <w:rPr>
          <w:rFonts w:asciiTheme="minorHAnsi" w:hAnsiTheme="minorHAnsi" w:cs="Arial"/>
          <w:sz w:val="26"/>
          <w:szCs w:val="26"/>
        </w:rPr>
      </w:pPr>
    </w:p>
    <w:p w:rsidR="005C0E72" w:rsidRDefault="005C0E72" w:rsidP="00304403">
      <w:pPr>
        <w:tabs>
          <w:tab w:val="left" w:pos="6960"/>
        </w:tabs>
        <w:ind w:left="-510"/>
        <w:rPr>
          <w:rFonts w:asciiTheme="minorHAnsi" w:hAnsiTheme="minorHAnsi" w:cs="Arial"/>
          <w:sz w:val="26"/>
          <w:szCs w:val="26"/>
        </w:rPr>
      </w:pPr>
    </w:p>
    <w:p w:rsidR="005C0E72" w:rsidRDefault="005C0E72" w:rsidP="00304403">
      <w:pPr>
        <w:tabs>
          <w:tab w:val="left" w:pos="6960"/>
        </w:tabs>
        <w:ind w:left="-510"/>
        <w:rPr>
          <w:rFonts w:asciiTheme="minorHAnsi" w:hAnsiTheme="minorHAnsi" w:cs="Arial"/>
          <w:sz w:val="26"/>
          <w:szCs w:val="26"/>
        </w:rPr>
      </w:pPr>
    </w:p>
    <w:p w:rsidR="005C0E72" w:rsidRDefault="005C0E72" w:rsidP="00304403">
      <w:pPr>
        <w:tabs>
          <w:tab w:val="left" w:pos="6960"/>
        </w:tabs>
        <w:ind w:left="-510"/>
        <w:rPr>
          <w:rFonts w:asciiTheme="minorHAnsi" w:hAnsiTheme="minorHAnsi" w:cs="Arial"/>
          <w:sz w:val="26"/>
          <w:szCs w:val="26"/>
        </w:rPr>
      </w:pPr>
    </w:p>
    <w:p w:rsidR="005C0E72" w:rsidRDefault="005C0E72" w:rsidP="00304403">
      <w:pPr>
        <w:tabs>
          <w:tab w:val="left" w:pos="6960"/>
        </w:tabs>
        <w:ind w:left="-510"/>
        <w:rPr>
          <w:rFonts w:asciiTheme="minorHAnsi" w:hAnsiTheme="minorHAnsi" w:cs="Arial"/>
          <w:sz w:val="26"/>
          <w:szCs w:val="26"/>
        </w:rPr>
      </w:pPr>
    </w:p>
    <w:p w:rsidR="005C0E72" w:rsidRDefault="005C0E72" w:rsidP="00304403">
      <w:pPr>
        <w:tabs>
          <w:tab w:val="left" w:pos="6960"/>
        </w:tabs>
        <w:ind w:left="-510"/>
        <w:rPr>
          <w:rFonts w:asciiTheme="minorHAnsi" w:hAnsiTheme="minorHAnsi" w:cs="Arial"/>
          <w:sz w:val="26"/>
          <w:szCs w:val="26"/>
        </w:rPr>
      </w:pPr>
    </w:p>
    <w:p w:rsidR="00D56560" w:rsidRPr="005C0E72" w:rsidRDefault="00D56560" w:rsidP="00366A2D">
      <w:pPr>
        <w:numPr>
          <w:ilvl w:val="0"/>
          <w:numId w:val="21"/>
        </w:numPr>
        <w:spacing w:line="276" w:lineRule="auto"/>
        <w:ind w:left="-426" w:firstLine="0"/>
        <w:jc w:val="both"/>
        <w:rPr>
          <w:rFonts w:ascii="Calibri" w:hAnsi="Calibri" w:cs="Arial"/>
          <w:bCs/>
          <w:sz w:val="22"/>
          <w:szCs w:val="22"/>
        </w:rPr>
      </w:pPr>
      <w:r w:rsidRPr="005C0E72">
        <w:rPr>
          <w:rFonts w:ascii="Calibri" w:hAnsi="Calibri" w:cs="Arial"/>
          <w:b/>
          <w:bCs/>
          <w:sz w:val="22"/>
          <w:szCs w:val="22"/>
        </w:rPr>
        <w:t>Wzrost przychodów odsetkowych był wynikiem zwiększenia akcji kredytowej</w:t>
      </w:r>
      <w:r w:rsidRPr="005C0E72">
        <w:rPr>
          <w:rFonts w:ascii="Calibri" w:hAnsi="Calibri" w:cs="Arial"/>
          <w:bCs/>
          <w:sz w:val="22"/>
          <w:szCs w:val="22"/>
        </w:rPr>
        <w:t xml:space="preserve"> o 14,4% r/r (o 222 mln PLN – głównie na portfelu korporacyjnym). Marża odsetkowa netto w 1H’13 obniżyła się o 0,22 pp. do 3,48%;</w:t>
      </w:r>
    </w:p>
    <w:p w:rsidR="00D56560" w:rsidRPr="005C0E72" w:rsidRDefault="00D56560" w:rsidP="00366A2D">
      <w:pPr>
        <w:numPr>
          <w:ilvl w:val="0"/>
          <w:numId w:val="21"/>
        </w:numPr>
        <w:spacing w:line="276" w:lineRule="auto"/>
        <w:ind w:left="-426" w:firstLine="0"/>
        <w:jc w:val="both"/>
        <w:rPr>
          <w:rFonts w:ascii="Calibri" w:hAnsi="Calibri" w:cs="Arial"/>
          <w:bCs/>
          <w:sz w:val="22"/>
          <w:szCs w:val="22"/>
        </w:rPr>
      </w:pPr>
      <w:r w:rsidRPr="005C0E72">
        <w:rPr>
          <w:rFonts w:ascii="Calibri" w:hAnsi="Calibri" w:cs="Arial"/>
          <w:bCs/>
          <w:sz w:val="22"/>
          <w:szCs w:val="22"/>
        </w:rPr>
        <w:t xml:space="preserve">Niewielki wzrost wyniku na działalności bankowej był wynikiem </w:t>
      </w:r>
      <w:r w:rsidRPr="005C0E72">
        <w:rPr>
          <w:rFonts w:ascii="Calibri" w:hAnsi="Calibri" w:cs="Arial"/>
          <w:b/>
          <w:bCs/>
          <w:sz w:val="22"/>
          <w:szCs w:val="22"/>
        </w:rPr>
        <w:t>gorszego wyniku prowizyjnego</w:t>
      </w:r>
      <w:r w:rsidRPr="005C0E72">
        <w:rPr>
          <w:rFonts w:ascii="Calibri" w:hAnsi="Calibri" w:cs="Arial"/>
          <w:bCs/>
          <w:sz w:val="22"/>
          <w:szCs w:val="22"/>
        </w:rPr>
        <w:t xml:space="preserve"> (na kredytach mieszkaniowych i remontowych) i tego, że w analogicznym okresie ub. r. bank odnotował wysoki wynik na operacjach finansowych;</w:t>
      </w:r>
    </w:p>
    <w:p w:rsidR="00D56560" w:rsidRPr="005C0E72" w:rsidRDefault="00D56560" w:rsidP="00366A2D">
      <w:pPr>
        <w:numPr>
          <w:ilvl w:val="0"/>
          <w:numId w:val="21"/>
        </w:numPr>
        <w:spacing w:line="276" w:lineRule="auto"/>
        <w:ind w:left="-426" w:firstLine="0"/>
        <w:jc w:val="both"/>
        <w:rPr>
          <w:rFonts w:ascii="Calibri" w:hAnsi="Calibri" w:cs="Arial"/>
          <w:bCs/>
          <w:sz w:val="22"/>
          <w:szCs w:val="22"/>
        </w:rPr>
      </w:pPr>
      <w:r w:rsidRPr="005C0E72">
        <w:rPr>
          <w:rFonts w:ascii="Calibri" w:hAnsi="Calibri" w:cs="Arial"/>
          <w:bCs/>
          <w:sz w:val="22"/>
          <w:szCs w:val="22"/>
        </w:rPr>
        <w:t xml:space="preserve">Nieco niższy wynik na działalności bankowej i niewielki wzrost kosztów działania (z amortyzacją) spowodowało, że </w:t>
      </w:r>
      <w:r w:rsidRPr="005C0E72">
        <w:rPr>
          <w:rFonts w:ascii="Calibri" w:hAnsi="Calibri" w:cs="Arial"/>
          <w:b/>
          <w:bCs/>
          <w:sz w:val="22"/>
          <w:szCs w:val="22"/>
        </w:rPr>
        <w:t>efektywność kosztowa obniżyła się</w:t>
      </w:r>
      <w:r w:rsidRPr="005C0E72">
        <w:rPr>
          <w:rFonts w:ascii="Calibri" w:hAnsi="Calibri" w:cs="Arial"/>
          <w:bCs/>
          <w:sz w:val="22"/>
          <w:szCs w:val="22"/>
        </w:rPr>
        <w:t xml:space="preserve"> (relacja kosztów do dochodów wzrosła do 77,6%). Wzrost kosztów działania to efekt przede wszystkim zwiększonych wydatków na reklamę, pozostałych kosztów rzeczowych, kosztów informatyki i oprogramowania oraz kosztów utrzymania i wynajmu budynków i lokali. Natomiast mocno zmniejszyła się amortyzacja;</w:t>
      </w:r>
    </w:p>
    <w:p w:rsidR="00D56560" w:rsidRPr="005C0E72" w:rsidRDefault="00D56560" w:rsidP="00366A2D">
      <w:pPr>
        <w:numPr>
          <w:ilvl w:val="0"/>
          <w:numId w:val="21"/>
        </w:numPr>
        <w:spacing w:line="276" w:lineRule="auto"/>
        <w:ind w:left="-426" w:firstLine="0"/>
        <w:jc w:val="both"/>
        <w:rPr>
          <w:rFonts w:ascii="Calibri" w:hAnsi="Calibri" w:cs="Arial"/>
          <w:bCs/>
          <w:sz w:val="22"/>
          <w:szCs w:val="22"/>
        </w:rPr>
      </w:pPr>
      <w:r w:rsidRPr="005C0E72">
        <w:rPr>
          <w:rFonts w:ascii="Calibri" w:hAnsi="Calibri" w:cs="Arial"/>
          <w:b/>
          <w:bCs/>
          <w:sz w:val="22"/>
          <w:szCs w:val="22"/>
        </w:rPr>
        <w:t>Jakość portfela kredytowego lekko pogorszyła się</w:t>
      </w:r>
      <w:r w:rsidRPr="005C0E72">
        <w:rPr>
          <w:rFonts w:ascii="Calibri" w:hAnsi="Calibri" w:cs="Arial"/>
          <w:bCs/>
          <w:sz w:val="22"/>
          <w:szCs w:val="22"/>
        </w:rPr>
        <w:t xml:space="preserve">, tzn. udział kredytów zagrożonych w strukturze kredytów ogółem wzrósł o 0,1 pp. i wynosi 8,1%; </w:t>
      </w:r>
    </w:p>
    <w:p w:rsidR="00D56560" w:rsidRPr="005C0E72" w:rsidRDefault="00D56560" w:rsidP="00366A2D">
      <w:pPr>
        <w:numPr>
          <w:ilvl w:val="0"/>
          <w:numId w:val="21"/>
        </w:numPr>
        <w:spacing w:line="276" w:lineRule="auto"/>
        <w:ind w:left="-426" w:firstLine="0"/>
        <w:jc w:val="both"/>
        <w:rPr>
          <w:rFonts w:ascii="Calibri" w:hAnsi="Calibri" w:cs="Arial"/>
          <w:bCs/>
          <w:sz w:val="22"/>
          <w:szCs w:val="22"/>
        </w:rPr>
      </w:pPr>
      <w:r w:rsidRPr="005C0E72">
        <w:rPr>
          <w:rFonts w:ascii="Calibri" w:hAnsi="Calibri" w:cs="Arial"/>
          <w:b/>
          <w:bCs/>
          <w:sz w:val="22"/>
          <w:szCs w:val="22"/>
        </w:rPr>
        <w:t>Bank podejmuje działania w celu wzmocnienia bazy kapitałowej</w:t>
      </w:r>
      <w:r w:rsidRPr="005C0E72">
        <w:rPr>
          <w:rFonts w:ascii="Calibri" w:hAnsi="Calibri" w:cs="Arial"/>
          <w:bCs/>
          <w:sz w:val="22"/>
          <w:szCs w:val="22"/>
        </w:rPr>
        <w:t xml:space="preserve">. Oprócz emisji obligacji podporządkowanych nastąpił również </w:t>
      </w:r>
      <w:r w:rsidRPr="005C0E72">
        <w:rPr>
          <w:rFonts w:ascii="Calibri" w:hAnsi="Calibri" w:cs="Arial"/>
          <w:b/>
          <w:bCs/>
          <w:sz w:val="22"/>
          <w:szCs w:val="22"/>
        </w:rPr>
        <w:t>silny wzrost funduszy udziałowych</w:t>
      </w:r>
      <w:r w:rsidRPr="005C0E72">
        <w:rPr>
          <w:rFonts w:ascii="Calibri" w:hAnsi="Calibri" w:cs="Arial"/>
          <w:bCs/>
          <w:sz w:val="22"/>
          <w:szCs w:val="22"/>
        </w:rPr>
        <w:t xml:space="preserve"> (+72%, tj. o 14 mln PLN; głównie wzrosły udziału osób prywatnych o ponad 12 mln PLN, tj. o 106%) i fundusz zasobowy (o 11 mln PLN). W skutek </w:t>
      </w:r>
      <w:r w:rsidRPr="005C0E72">
        <w:rPr>
          <w:rFonts w:ascii="Calibri" w:hAnsi="Calibri" w:cs="Arial"/>
          <w:b/>
          <w:bCs/>
          <w:sz w:val="22"/>
          <w:szCs w:val="22"/>
        </w:rPr>
        <w:t>obniżenia funduszy uzupełniających</w:t>
      </w:r>
      <w:r w:rsidRPr="005C0E72">
        <w:rPr>
          <w:rFonts w:ascii="Calibri" w:hAnsi="Calibri" w:cs="Arial"/>
          <w:bCs/>
          <w:sz w:val="22"/>
          <w:szCs w:val="22"/>
        </w:rPr>
        <w:t xml:space="preserve"> (w tym przez zobowiązania podporządkowane o 3,3 mln PLN) fundusze własne wzrosły o ok. 8%, czyli nieco wolniej niż wzrost wymogu kapitałowego. W efekcie współczynnik wypłacalności wzrósł w niewielkim stopniu i wyniósł 9,31% wobec ustawowego minimum na poziomie 8%</w:t>
      </w:r>
      <w:r>
        <w:rPr>
          <w:rFonts w:ascii="Calibri" w:hAnsi="Calibri" w:cs="Arial"/>
          <w:bCs/>
          <w:sz w:val="22"/>
          <w:szCs w:val="22"/>
        </w:rPr>
        <w:t>.</w:t>
      </w:r>
    </w:p>
    <w:p w:rsidR="00304403" w:rsidRDefault="00304403" w:rsidP="00304403">
      <w:pPr>
        <w:tabs>
          <w:tab w:val="left" w:pos="6960"/>
        </w:tabs>
        <w:ind w:left="-510"/>
        <w:rPr>
          <w:rFonts w:asciiTheme="minorHAnsi" w:hAnsiTheme="minorHAnsi" w:cs="Arial"/>
          <w:sz w:val="26"/>
          <w:szCs w:val="26"/>
        </w:rPr>
      </w:pPr>
    </w:p>
    <w:p w:rsidR="00CF2B28" w:rsidRDefault="00CF2B28">
      <w:pPr>
        <w:rPr>
          <w:rFonts w:asciiTheme="minorHAnsi" w:hAnsiTheme="minorHAnsi" w:cs="Arial"/>
          <w:sz w:val="20"/>
          <w:szCs w:val="20"/>
        </w:rPr>
      </w:pPr>
      <w:r>
        <w:rPr>
          <w:rFonts w:asciiTheme="minorHAnsi" w:hAnsiTheme="minorHAnsi" w:cs="Arial"/>
          <w:sz w:val="20"/>
          <w:szCs w:val="20"/>
        </w:rPr>
        <w:br w:type="page"/>
      </w:r>
    </w:p>
    <w:p w:rsidR="005C0E72" w:rsidRPr="00636E50" w:rsidRDefault="005C0E72" w:rsidP="00636E50">
      <w:pPr>
        <w:pStyle w:val="Nagwek1"/>
        <w:jc w:val="both"/>
      </w:pPr>
      <w:bookmarkStart w:id="3" w:name="_Toc368572353"/>
      <w:r w:rsidRPr="00636E50">
        <w:lastRenderedPageBreak/>
        <w:t>SPÓŁDZIELCZY BANK ROZWOJU I RZEMIOSŁA W WOŁOMINIE (SK BANK)</w:t>
      </w:r>
      <w:bookmarkEnd w:id="3"/>
    </w:p>
    <w:p w:rsidR="009F57B5" w:rsidRPr="00366A2D" w:rsidRDefault="009F57B5" w:rsidP="005C0E72">
      <w:pPr>
        <w:tabs>
          <w:tab w:val="left" w:pos="6960"/>
        </w:tabs>
        <w:ind w:left="-510"/>
        <w:rPr>
          <w:rFonts w:asciiTheme="minorHAnsi" w:hAnsiTheme="minorHAnsi" w:cs="Arial"/>
          <w:sz w:val="22"/>
          <w:szCs w:val="22"/>
        </w:rPr>
      </w:pPr>
    </w:p>
    <w:tbl>
      <w:tblPr>
        <w:tblW w:w="3979" w:type="dxa"/>
        <w:tblInd w:w="60" w:type="dxa"/>
        <w:tblCellMar>
          <w:left w:w="70" w:type="dxa"/>
          <w:right w:w="70" w:type="dxa"/>
        </w:tblCellMar>
        <w:tblLook w:val="04A0"/>
      </w:tblPr>
      <w:tblGrid>
        <w:gridCol w:w="2600"/>
        <w:gridCol w:w="546"/>
        <w:gridCol w:w="833"/>
      </w:tblGrid>
      <w:tr w:rsidR="009F57B5" w:rsidTr="009057F0">
        <w:trPr>
          <w:trHeight w:val="252"/>
        </w:trPr>
        <w:tc>
          <w:tcPr>
            <w:tcW w:w="2600" w:type="dxa"/>
            <w:tcBorders>
              <w:top w:val="single" w:sz="8" w:space="0" w:color="FFFFFF"/>
              <w:left w:val="single" w:sz="8" w:space="0" w:color="FFFFFF"/>
              <w:bottom w:val="single" w:sz="8" w:space="0" w:color="1EAA82"/>
              <w:right w:val="nil"/>
            </w:tcBorders>
            <w:shd w:val="clear" w:color="000000" w:fill="FFFFFF"/>
            <w:vAlign w:val="center"/>
            <w:hideMark/>
          </w:tcPr>
          <w:p w:rsidR="009F57B5" w:rsidRDefault="009F57B5" w:rsidP="009057F0">
            <w:pPr>
              <w:rPr>
                <w:rFonts w:ascii="Calibri" w:hAnsi="Calibri" w:cs="Calibri"/>
                <w:b/>
                <w:bCs/>
                <w:color w:val="000000"/>
                <w:sz w:val="18"/>
                <w:szCs w:val="18"/>
              </w:rPr>
            </w:pPr>
            <w:r>
              <w:rPr>
                <w:rFonts w:ascii="Calibri" w:hAnsi="Calibri" w:cs="Calibri"/>
                <w:b/>
                <w:bCs/>
                <w:color w:val="000000"/>
                <w:sz w:val="18"/>
                <w:szCs w:val="18"/>
              </w:rPr>
              <w:t>Podstawowe dane</w:t>
            </w:r>
          </w:p>
        </w:tc>
        <w:tc>
          <w:tcPr>
            <w:tcW w:w="546" w:type="dxa"/>
            <w:tcBorders>
              <w:top w:val="single" w:sz="8" w:space="0" w:color="FFFFFF"/>
              <w:left w:val="nil"/>
              <w:bottom w:val="single" w:sz="8" w:space="0" w:color="1EAA82"/>
              <w:right w:val="single" w:sz="8" w:space="0" w:color="FFFFFF"/>
            </w:tcBorders>
            <w:shd w:val="clear" w:color="000000" w:fill="FFFFFF"/>
            <w:vAlign w:val="center"/>
            <w:hideMark/>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2012 </w:t>
            </w:r>
          </w:p>
        </w:tc>
        <w:tc>
          <w:tcPr>
            <w:tcW w:w="833" w:type="dxa"/>
            <w:tcBorders>
              <w:top w:val="single" w:sz="8" w:space="0" w:color="FFFFFF"/>
              <w:left w:val="nil"/>
              <w:bottom w:val="single" w:sz="8" w:space="0" w:color="1EAA82"/>
              <w:right w:val="single" w:sz="8" w:space="0" w:color="FFFFFF"/>
            </w:tcBorders>
            <w:shd w:val="clear" w:color="000000" w:fill="FFFFFF"/>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1H’13</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Suma bilansowa [mln PLN]</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1 578</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2 716</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Kapitały własne [mln PLN]</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141</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166</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 xml:space="preserve">Współczynnik wypłacalności [%]                      </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10,6</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12,5</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C/I [%]</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62,1</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76,7</w:t>
            </w:r>
          </w:p>
        </w:tc>
      </w:tr>
    </w:tbl>
    <w:p w:rsidR="009F57B5" w:rsidRPr="00366A2D" w:rsidRDefault="009F57B5" w:rsidP="005C0E72">
      <w:pPr>
        <w:tabs>
          <w:tab w:val="left" w:pos="6960"/>
        </w:tabs>
        <w:ind w:left="-510"/>
        <w:rPr>
          <w:rFonts w:asciiTheme="minorHAnsi" w:hAnsiTheme="minorHAnsi" w:cs="Arial"/>
          <w:sz w:val="22"/>
          <w:szCs w:val="22"/>
        </w:rPr>
      </w:pPr>
    </w:p>
    <w:p w:rsidR="005C0E72" w:rsidRDefault="005C0E72" w:rsidP="009870BB">
      <w:pPr>
        <w:tabs>
          <w:tab w:val="left" w:pos="6960"/>
        </w:tabs>
        <w:spacing w:line="276" w:lineRule="auto"/>
        <w:ind w:left="-510"/>
        <w:jc w:val="both"/>
        <w:rPr>
          <w:rFonts w:ascii="Calibri" w:hAnsi="Calibri" w:cs="Arial"/>
          <w:bCs/>
          <w:sz w:val="22"/>
          <w:szCs w:val="22"/>
        </w:rPr>
      </w:pPr>
      <w:r w:rsidRPr="005C0E72">
        <w:rPr>
          <w:rFonts w:ascii="Calibri" w:hAnsi="Calibri" w:cs="Arial"/>
          <w:b/>
          <w:bCs/>
          <w:sz w:val="22"/>
          <w:szCs w:val="22"/>
        </w:rPr>
        <w:t xml:space="preserve">Ogromny przyrost bazy depozytowej. Niższe odpisy wspierają wynik. </w:t>
      </w:r>
      <w:r w:rsidRPr="005C0E72">
        <w:rPr>
          <w:rFonts w:ascii="Calibri" w:hAnsi="Calibri" w:cs="Arial"/>
          <w:bCs/>
          <w:sz w:val="22"/>
          <w:szCs w:val="22"/>
        </w:rPr>
        <w:t>SK Bank w 1H’13 wypracował 24,4 mln PLN zysku z działalności bankowej i 6,2 mln PLN zysku netto</w:t>
      </w:r>
      <w:r>
        <w:rPr>
          <w:rFonts w:ascii="Calibri" w:hAnsi="Calibri" w:cs="Arial"/>
          <w:bCs/>
          <w:sz w:val="22"/>
          <w:szCs w:val="22"/>
        </w:rPr>
        <w:t>.</w:t>
      </w:r>
    </w:p>
    <w:p w:rsidR="005C0E72" w:rsidRDefault="005C0E72" w:rsidP="005C0E72">
      <w:pPr>
        <w:tabs>
          <w:tab w:val="left" w:pos="6960"/>
        </w:tabs>
        <w:ind w:left="-510"/>
        <w:rPr>
          <w:rFonts w:asciiTheme="minorHAnsi" w:hAnsiTheme="minorHAnsi" w:cs="Arial"/>
          <w:sz w:val="22"/>
          <w:szCs w:val="22"/>
        </w:rPr>
      </w:pPr>
    </w:p>
    <w:p w:rsidR="005C0E72" w:rsidRDefault="005C0E72" w:rsidP="005C0E72">
      <w:pPr>
        <w:tabs>
          <w:tab w:val="left" w:pos="6960"/>
        </w:tabs>
        <w:ind w:left="-510"/>
        <w:rPr>
          <w:rFonts w:asciiTheme="minorHAnsi" w:hAnsiTheme="minorHAnsi" w:cs="Arial"/>
          <w:sz w:val="22"/>
          <w:szCs w:val="22"/>
        </w:rPr>
      </w:pPr>
      <w:r>
        <w:rPr>
          <w:noProof/>
          <w:szCs w:val="22"/>
        </w:rPr>
        <w:drawing>
          <wp:anchor distT="0" distB="0" distL="114300" distR="114300" simplePos="0" relativeHeight="251641344" behindDoc="1" locked="0" layoutInCell="1" allowOverlap="1">
            <wp:simplePos x="0" y="0"/>
            <wp:positionH relativeFrom="column">
              <wp:posOffset>3153410</wp:posOffset>
            </wp:positionH>
            <wp:positionV relativeFrom="paragraph">
              <wp:posOffset>28575</wp:posOffset>
            </wp:positionV>
            <wp:extent cx="3457575" cy="2124075"/>
            <wp:effectExtent l="19050" t="0" r="9525" b="0"/>
            <wp:wrapNone/>
            <wp:docPr id="1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3457575" cy="2124075"/>
                    </a:xfrm>
                    <a:prstGeom prst="rect">
                      <a:avLst/>
                    </a:prstGeom>
                    <a:noFill/>
                    <a:ln w="9525">
                      <a:noFill/>
                      <a:miter lim="800000"/>
                      <a:headEnd/>
                      <a:tailEnd/>
                    </a:ln>
                  </pic:spPr>
                </pic:pic>
              </a:graphicData>
            </a:graphic>
          </wp:anchor>
        </w:drawing>
      </w:r>
      <w:r>
        <w:rPr>
          <w:noProof/>
          <w:szCs w:val="22"/>
        </w:rPr>
        <w:drawing>
          <wp:anchor distT="0" distB="0" distL="114300" distR="114300" simplePos="0" relativeHeight="251642368" behindDoc="1" locked="0" layoutInCell="1" allowOverlap="1">
            <wp:simplePos x="0" y="0"/>
            <wp:positionH relativeFrom="column">
              <wp:posOffset>-370840</wp:posOffset>
            </wp:positionH>
            <wp:positionV relativeFrom="paragraph">
              <wp:posOffset>0</wp:posOffset>
            </wp:positionV>
            <wp:extent cx="3524250" cy="2095500"/>
            <wp:effectExtent l="19050" t="0" r="0" b="0"/>
            <wp:wrapNone/>
            <wp:docPr id="1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3524250" cy="2095500"/>
                    </a:xfrm>
                    <a:prstGeom prst="rect">
                      <a:avLst/>
                    </a:prstGeom>
                    <a:noFill/>
                    <a:ln w="9525">
                      <a:noFill/>
                      <a:miter lim="800000"/>
                      <a:headEnd/>
                      <a:tailEnd/>
                    </a:ln>
                  </pic:spPr>
                </pic:pic>
              </a:graphicData>
            </a:graphic>
          </wp:anchor>
        </w:drawing>
      </w:r>
    </w:p>
    <w:p w:rsidR="005C0E72" w:rsidRDefault="005C0E72" w:rsidP="005C0E72">
      <w:pPr>
        <w:tabs>
          <w:tab w:val="left" w:pos="6960"/>
        </w:tabs>
        <w:ind w:left="-510"/>
        <w:rPr>
          <w:rFonts w:asciiTheme="minorHAnsi" w:hAnsiTheme="minorHAnsi" w:cs="Arial"/>
          <w:sz w:val="22"/>
          <w:szCs w:val="22"/>
        </w:rPr>
      </w:pPr>
    </w:p>
    <w:p w:rsidR="005C0E72" w:rsidRDefault="005C0E72" w:rsidP="005C0E72">
      <w:pPr>
        <w:tabs>
          <w:tab w:val="left" w:pos="6960"/>
        </w:tabs>
        <w:ind w:left="-510"/>
        <w:rPr>
          <w:rFonts w:asciiTheme="minorHAnsi" w:hAnsiTheme="minorHAnsi" w:cs="Arial"/>
          <w:sz w:val="22"/>
          <w:szCs w:val="22"/>
        </w:rPr>
      </w:pPr>
    </w:p>
    <w:p w:rsidR="005C0E72" w:rsidRDefault="005C0E72" w:rsidP="005C0E72">
      <w:pPr>
        <w:tabs>
          <w:tab w:val="left" w:pos="6960"/>
        </w:tabs>
        <w:ind w:left="-510"/>
        <w:rPr>
          <w:rFonts w:asciiTheme="minorHAnsi" w:hAnsiTheme="minorHAnsi" w:cs="Arial"/>
          <w:sz w:val="22"/>
          <w:szCs w:val="22"/>
        </w:rPr>
      </w:pPr>
    </w:p>
    <w:p w:rsidR="005C0E72" w:rsidRDefault="005C0E72" w:rsidP="005C0E72">
      <w:pPr>
        <w:tabs>
          <w:tab w:val="left" w:pos="6960"/>
        </w:tabs>
        <w:ind w:left="-510"/>
        <w:rPr>
          <w:rFonts w:asciiTheme="minorHAnsi" w:hAnsiTheme="minorHAnsi" w:cs="Arial"/>
          <w:sz w:val="22"/>
          <w:szCs w:val="22"/>
        </w:rPr>
      </w:pPr>
    </w:p>
    <w:p w:rsidR="005C0E72" w:rsidRDefault="005C0E72" w:rsidP="005C0E72">
      <w:pPr>
        <w:tabs>
          <w:tab w:val="left" w:pos="6960"/>
        </w:tabs>
        <w:ind w:left="-510"/>
        <w:rPr>
          <w:rFonts w:asciiTheme="minorHAnsi" w:hAnsiTheme="minorHAnsi" w:cs="Arial"/>
          <w:sz w:val="22"/>
          <w:szCs w:val="22"/>
        </w:rPr>
      </w:pPr>
    </w:p>
    <w:p w:rsidR="005C0E72" w:rsidRDefault="005C0E72" w:rsidP="005C0E72">
      <w:pPr>
        <w:tabs>
          <w:tab w:val="left" w:pos="6960"/>
        </w:tabs>
        <w:ind w:left="-510"/>
        <w:rPr>
          <w:rFonts w:asciiTheme="minorHAnsi" w:hAnsiTheme="minorHAnsi" w:cs="Arial"/>
          <w:sz w:val="22"/>
          <w:szCs w:val="22"/>
        </w:rPr>
      </w:pPr>
    </w:p>
    <w:p w:rsidR="005C0E72" w:rsidRDefault="005C0E72" w:rsidP="00F77EC0">
      <w:pPr>
        <w:tabs>
          <w:tab w:val="left" w:pos="6960"/>
        </w:tabs>
        <w:rPr>
          <w:rFonts w:asciiTheme="minorHAnsi" w:hAnsiTheme="minorHAnsi" w:cs="Arial"/>
          <w:sz w:val="22"/>
          <w:szCs w:val="22"/>
        </w:rPr>
      </w:pPr>
    </w:p>
    <w:p w:rsidR="005C0E72" w:rsidRDefault="005C0E72" w:rsidP="005C0E72">
      <w:pPr>
        <w:tabs>
          <w:tab w:val="left" w:pos="6960"/>
        </w:tabs>
        <w:rPr>
          <w:rFonts w:asciiTheme="minorHAnsi" w:hAnsiTheme="minorHAnsi" w:cs="Arial"/>
          <w:sz w:val="22"/>
          <w:szCs w:val="22"/>
        </w:rPr>
      </w:pPr>
    </w:p>
    <w:p w:rsidR="005C0E72" w:rsidRDefault="005C0E72" w:rsidP="005C0E72">
      <w:pPr>
        <w:tabs>
          <w:tab w:val="left" w:pos="6960"/>
        </w:tabs>
        <w:ind w:left="-510"/>
        <w:rPr>
          <w:rFonts w:asciiTheme="minorHAnsi" w:hAnsiTheme="minorHAnsi" w:cs="Arial"/>
          <w:sz w:val="22"/>
          <w:szCs w:val="22"/>
        </w:rPr>
      </w:pPr>
    </w:p>
    <w:p w:rsidR="00E3275A" w:rsidRDefault="00E3275A">
      <w:pPr>
        <w:rPr>
          <w:rFonts w:asciiTheme="minorHAnsi" w:hAnsiTheme="minorHAnsi" w:cs="Arial"/>
          <w:sz w:val="20"/>
          <w:szCs w:val="20"/>
        </w:rPr>
      </w:pPr>
    </w:p>
    <w:p w:rsidR="00E3275A" w:rsidRDefault="00E3275A">
      <w:pPr>
        <w:rPr>
          <w:rFonts w:asciiTheme="minorHAnsi" w:hAnsiTheme="minorHAnsi" w:cs="Arial"/>
          <w:sz w:val="20"/>
          <w:szCs w:val="20"/>
        </w:rPr>
      </w:pPr>
    </w:p>
    <w:p w:rsidR="00E3275A" w:rsidRDefault="00E3275A">
      <w:pPr>
        <w:rPr>
          <w:rFonts w:asciiTheme="minorHAnsi" w:hAnsiTheme="minorHAnsi" w:cs="Arial"/>
          <w:sz w:val="20"/>
          <w:szCs w:val="20"/>
        </w:rPr>
      </w:pPr>
    </w:p>
    <w:p w:rsidR="00E3275A" w:rsidRPr="009F57B5" w:rsidRDefault="00E3275A" w:rsidP="009870BB">
      <w:pPr>
        <w:numPr>
          <w:ilvl w:val="0"/>
          <w:numId w:val="22"/>
        </w:numPr>
        <w:spacing w:line="276" w:lineRule="auto"/>
        <w:ind w:left="-426" w:firstLine="0"/>
        <w:jc w:val="both"/>
        <w:rPr>
          <w:rFonts w:ascii="Calibri" w:hAnsi="Calibri" w:cs="Arial"/>
          <w:bCs/>
          <w:sz w:val="20"/>
          <w:szCs w:val="20"/>
        </w:rPr>
      </w:pPr>
      <w:r w:rsidRPr="009F57B5">
        <w:rPr>
          <w:rFonts w:ascii="Calibri" w:hAnsi="Calibri" w:cs="Arial"/>
          <w:b/>
          <w:bCs/>
          <w:sz w:val="20"/>
          <w:szCs w:val="20"/>
        </w:rPr>
        <w:t>Dynamiczny wzrost akcji kredytowej</w:t>
      </w:r>
      <w:r w:rsidRPr="009F57B5">
        <w:rPr>
          <w:rFonts w:ascii="Calibri" w:hAnsi="Calibri" w:cs="Arial"/>
          <w:bCs/>
          <w:sz w:val="20"/>
          <w:szCs w:val="20"/>
        </w:rPr>
        <w:t xml:space="preserve"> (</w:t>
      </w:r>
      <w:r w:rsidR="009870BB">
        <w:rPr>
          <w:rFonts w:ascii="Calibri" w:hAnsi="Calibri" w:cs="Arial"/>
          <w:bCs/>
          <w:sz w:val="20"/>
          <w:szCs w:val="20"/>
        </w:rPr>
        <w:t>+</w:t>
      </w:r>
      <w:r w:rsidRPr="009F57B5">
        <w:rPr>
          <w:rFonts w:ascii="Calibri" w:hAnsi="Calibri" w:cs="Arial"/>
          <w:bCs/>
          <w:sz w:val="20"/>
          <w:szCs w:val="20"/>
        </w:rPr>
        <w:t>36%) widać w blisko 50% przyroście przychodów z odsetek mimo negatywnych tendencji w zakresie stóp procentowych. Jeszcze silniej wzrosły koszty odsetkowe (+110% r/r) przez co wynik odsetkowy był niższy niż przed rokiem. Marża odsetkowa netto banku spadła o 1,23 p.p. do 3,13%;</w:t>
      </w:r>
    </w:p>
    <w:p w:rsidR="00E3275A" w:rsidRPr="009F57B5" w:rsidRDefault="00E3275A" w:rsidP="009870BB">
      <w:pPr>
        <w:numPr>
          <w:ilvl w:val="0"/>
          <w:numId w:val="22"/>
        </w:numPr>
        <w:spacing w:line="276" w:lineRule="auto"/>
        <w:ind w:left="-426" w:firstLine="0"/>
        <w:jc w:val="both"/>
        <w:rPr>
          <w:rFonts w:ascii="Calibri" w:hAnsi="Calibri" w:cs="Arial"/>
          <w:bCs/>
          <w:sz w:val="20"/>
          <w:szCs w:val="20"/>
        </w:rPr>
      </w:pPr>
      <w:r w:rsidRPr="009F57B5">
        <w:rPr>
          <w:rFonts w:ascii="Calibri" w:hAnsi="Calibri" w:cs="Arial"/>
          <w:bCs/>
          <w:sz w:val="20"/>
          <w:szCs w:val="20"/>
        </w:rPr>
        <w:t xml:space="preserve">Bank dokonuje </w:t>
      </w:r>
      <w:r w:rsidRPr="009F57B5">
        <w:rPr>
          <w:rFonts w:ascii="Calibri" w:hAnsi="Calibri" w:cs="Arial"/>
          <w:b/>
          <w:bCs/>
          <w:sz w:val="20"/>
          <w:szCs w:val="20"/>
        </w:rPr>
        <w:t>przebudowy bazy depozytowej</w:t>
      </w:r>
      <w:r w:rsidRPr="009F57B5">
        <w:rPr>
          <w:rFonts w:ascii="Calibri" w:hAnsi="Calibri" w:cs="Arial"/>
          <w:bCs/>
          <w:sz w:val="20"/>
          <w:szCs w:val="20"/>
        </w:rPr>
        <w:t xml:space="preserve"> w kierunku zwiększenia udziału długoterminowych depozytów, co jest związane z koniecznością poniesienia wyższych kosztów. Jednocześnie baza depozytowa bardzo mocno wzrosła (zobowiązania od sektora niefinansowego wzrosły w ciągu roku z ok. 800 mln PLN do 2,2 mld PLN);</w:t>
      </w:r>
    </w:p>
    <w:p w:rsidR="00E3275A" w:rsidRPr="009F57B5" w:rsidRDefault="00E3275A" w:rsidP="009870BB">
      <w:pPr>
        <w:numPr>
          <w:ilvl w:val="0"/>
          <w:numId w:val="22"/>
        </w:numPr>
        <w:spacing w:line="276" w:lineRule="auto"/>
        <w:ind w:left="-426" w:firstLine="0"/>
        <w:jc w:val="both"/>
        <w:rPr>
          <w:rFonts w:ascii="Calibri" w:hAnsi="Calibri" w:cs="Arial"/>
          <w:bCs/>
          <w:sz w:val="20"/>
          <w:szCs w:val="20"/>
        </w:rPr>
      </w:pPr>
      <w:r w:rsidRPr="009F57B5">
        <w:rPr>
          <w:rFonts w:ascii="Calibri" w:hAnsi="Calibri" w:cs="Arial"/>
          <w:bCs/>
          <w:sz w:val="20"/>
          <w:szCs w:val="20"/>
        </w:rPr>
        <w:t xml:space="preserve">Słabszy wynik odsetkowy zaciążył na wyniku na działalności bankowej, co przy wzroście kosztów działania (efekt dynamicznego rozwoju) </w:t>
      </w:r>
      <w:r w:rsidRPr="009F57B5">
        <w:rPr>
          <w:rFonts w:ascii="Calibri" w:hAnsi="Calibri" w:cs="Arial"/>
          <w:b/>
          <w:bCs/>
          <w:sz w:val="20"/>
          <w:szCs w:val="20"/>
        </w:rPr>
        <w:t>efektywność kosztowa banku uległa obniżeniu</w:t>
      </w:r>
      <w:r w:rsidRPr="009F57B5">
        <w:rPr>
          <w:rFonts w:ascii="Calibri" w:hAnsi="Calibri" w:cs="Arial"/>
          <w:bCs/>
          <w:sz w:val="20"/>
          <w:szCs w:val="20"/>
        </w:rPr>
        <w:t>, a relacja kosztów do dochodów wzrosła o 16 p.p. do 76,7%;</w:t>
      </w:r>
    </w:p>
    <w:p w:rsidR="00E3275A" w:rsidRPr="009F57B5" w:rsidRDefault="00E3275A" w:rsidP="009870BB">
      <w:pPr>
        <w:numPr>
          <w:ilvl w:val="0"/>
          <w:numId w:val="22"/>
        </w:numPr>
        <w:spacing w:line="276" w:lineRule="auto"/>
        <w:ind w:left="-426" w:firstLine="0"/>
        <w:jc w:val="both"/>
        <w:rPr>
          <w:rFonts w:ascii="Calibri" w:hAnsi="Calibri" w:cs="Arial"/>
          <w:bCs/>
          <w:sz w:val="20"/>
          <w:szCs w:val="20"/>
        </w:rPr>
      </w:pPr>
      <w:r w:rsidRPr="009F57B5">
        <w:rPr>
          <w:rFonts w:ascii="Calibri" w:hAnsi="Calibri" w:cs="Arial"/>
          <w:b/>
          <w:bCs/>
          <w:sz w:val="20"/>
          <w:szCs w:val="20"/>
        </w:rPr>
        <w:t>Jakość portfela kredytowego jest dobra</w:t>
      </w:r>
      <w:r w:rsidRPr="009F57B5">
        <w:rPr>
          <w:rFonts w:ascii="Calibri" w:hAnsi="Calibri" w:cs="Arial"/>
          <w:bCs/>
          <w:sz w:val="20"/>
          <w:szCs w:val="20"/>
        </w:rPr>
        <w:t>, tzn. udział kredytów zagrożonych w strukturze portfela wynosi 6,7%, czyli lekko poniżej średniej rynkowej. Rezerwy celowe w relacji do kredytów zagrożonych stanowią ok. 32% przy poziomie zabezpieczenia kredytów (średni LtV dla banku) na poziomie ok. 40%;</w:t>
      </w:r>
    </w:p>
    <w:p w:rsidR="00E3275A" w:rsidRPr="009F57B5" w:rsidRDefault="00E3275A" w:rsidP="009870BB">
      <w:pPr>
        <w:numPr>
          <w:ilvl w:val="0"/>
          <w:numId w:val="22"/>
        </w:numPr>
        <w:spacing w:line="276" w:lineRule="auto"/>
        <w:ind w:left="-426" w:firstLine="0"/>
        <w:jc w:val="both"/>
        <w:rPr>
          <w:rFonts w:ascii="Calibri" w:hAnsi="Calibri" w:cs="Arial"/>
          <w:bCs/>
          <w:sz w:val="20"/>
          <w:szCs w:val="20"/>
        </w:rPr>
      </w:pPr>
      <w:r w:rsidRPr="009F57B5">
        <w:rPr>
          <w:rFonts w:ascii="Calibri" w:hAnsi="Calibri" w:cs="Arial"/>
          <w:bCs/>
          <w:sz w:val="20"/>
          <w:szCs w:val="20"/>
        </w:rPr>
        <w:t>Rozwiązanie rezerw wynikało z niższych niż przed rokiem odpisów na kredyty, o ok. 6 mln PLN niższe. Co przy stabilnej wartości rozwiązanych rezerw pozwoliło na poprawę wyniku brutto;</w:t>
      </w:r>
    </w:p>
    <w:p w:rsidR="00E3275A" w:rsidRPr="009F57B5" w:rsidRDefault="00E3275A" w:rsidP="009870BB">
      <w:pPr>
        <w:numPr>
          <w:ilvl w:val="0"/>
          <w:numId w:val="22"/>
        </w:numPr>
        <w:spacing w:line="276" w:lineRule="auto"/>
        <w:ind w:left="-426" w:firstLine="0"/>
        <w:jc w:val="both"/>
        <w:rPr>
          <w:rFonts w:ascii="Calibri" w:hAnsi="Calibri" w:cs="Arial"/>
          <w:bCs/>
          <w:sz w:val="20"/>
          <w:szCs w:val="20"/>
        </w:rPr>
      </w:pPr>
      <w:r w:rsidRPr="009F57B5">
        <w:rPr>
          <w:rFonts w:ascii="Calibri" w:hAnsi="Calibri" w:cs="Arial"/>
          <w:bCs/>
          <w:sz w:val="20"/>
          <w:szCs w:val="20"/>
        </w:rPr>
        <w:t xml:space="preserve">Suma bilansowa mocno się rozrasta i w ciągu roku podwoiła się z 1,24 mld PLN do 2,72 mld PLN. W bilansie na uwagę zwraca silny przyrost należności od sektora finansowego (o 270% r/r; są to prawdopodobnie lokaty w innych bankach) do ok. 690 mln PLN wobec należności od sektora niefinansowego na poziomie 1,3 mld PLN. Ponadto na uwagę zwraca wzrost o 610 mln PLN papierów wartościowych. Zakładając, że są to aktywa płynne, bank ma pewien </w:t>
      </w:r>
      <w:r w:rsidRPr="009F57B5">
        <w:rPr>
          <w:rFonts w:ascii="Calibri" w:hAnsi="Calibri" w:cs="Arial"/>
          <w:b/>
          <w:bCs/>
          <w:sz w:val="20"/>
          <w:szCs w:val="20"/>
        </w:rPr>
        <w:t>bufor płynnościowy</w:t>
      </w:r>
      <w:r w:rsidRPr="009F57B5">
        <w:rPr>
          <w:rFonts w:ascii="Calibri" w:hAnsi="Calibri" w:cs="Arial"/>
          <w:bCs/>
          <w:sz w:val="20"/>
          <w:szCs w:val="20"/>
        </w:rPr>
        <w:t xml:space="preserve">, który pozwoli mu na uruchomienie akcji kredytowej w przyszłości. SK Bank depozyty ściąga od ludności, a finansuje głównie przedsiębiorstwa. Akcja kredytowa banku szybko rozwija się, ale przy bardzo silnym wzroście bazy depozytowej widać, że </w:t>
      </w:r>
      <w:r w:rsidRPr="009F57B5">
        <w:rPr>
          <w:rFonts w:ascii="Calibri" w:hAnsi="Calibri" w:cs="Arial"/>
          <w:b/>
          <w:bCs/>
          <w:sz w:val="20"/>
          <w:szCs w:val="20"/>
        </w:rPr>
        <w:t>bank potrzebuje dostępu do nowych rynków, klientów</w:t>
      </w:r>
      <w:r w:rsidRPr="009F57B5">
        <w:rPr>
          <w:rFonts w:ascii="Calibri" w:hAnsi="Calibri" w:cs="Arial"/>
          <w:bCs/>
          <w:sz w:val="20"/>
          <w:szCs w:val="20"/>
        </w:rPr>
        <w:t>. Stąd może wynikać planowana szybka ekspansja na nowych obszarach;</w:t>
      </w:r>
    </w:p>
    <w:p w:rsidR="00E3275A" w:rsidRPr="009F57B5" w:rsidRDefault="00E3275A" w:rsidP="009870BB">
      <w:pPr>
        <w:numPr>
          <w:ilvl w:val="0"/>
          <w:numId w:val="22"/>
        </w:numPr>
        <w:spacing w:line="276" w:lineRule="auto"/>
        <w:ind w:left="-426" w:firstLine="0"/>
        <w:jc w:val="both"/>
        <w:rPr>
          <w:rFonts w:ascii="Calibri" w:hAnsi="Calibri" w:cs="Arial"/>
          <w:bCs/>
          <w:sz w:val="20"/>
          <w:szCs w:val="20"/>
        </w:rPr>
      </w:pPr>
      <w:r w:rsidRPr="009F57B5">
        <w:rPr>
          <w:rFonts w:ascii="Calibri" w:hAnsi="Calibri" w:cs="Arial"/>
          <w:b/>
          <w:bCs/>
          <w:sz w:val="20"/>
          <w:szCs w:val="20"/>
        </w:rPr>
        <w:t>Zamiarem banku jest dalszy dynamiczny rozwój</w:t>
      </w:r>
      <w:r w:rsidRPr="009F57B5">
        <w:rPr>
          <w:rFonts w:ascii="Calibri" w:hAnsi="Calibri" w:cs="Arial"/>
          <w:bCs/>
          <w:sz w:val="20"/>
          <w:szCs w:val="20"/>
        </w:rPr>
        <w:t>. Planowane jest otwarcie co najmniej 5 placówek na terenie województwa śląskiego (obecnie bank posiada 11 oddziałów i 20 podległych im placówek);</w:t>
      </w:r>
    </w:p>
    <w:p w:rsidR="00E3275A" w:rsidRPr="009F57B5" w:rsidRDefault="00E3275A" w:rsidP="009870BB">
      <w:pPr>
        <w:pStyle w:val="Akapitzlist"/>
        <w:numPr>
          <w:ilvl w:val="0"/>
          <w:numId w:val="22"/>
        </w:numPr>
        <w:tabs>
          <w:tab w:val="left" w:pos="-142"/>
        </w:tabs>
        <w:ind w:left="-426" w:firstLine="0"/>
        <w:jc w:val="both"/>
        <w:rPr>
          <w:rFonts w:asciiTheme="minorHAnsi" w:hAnsiTheme="minorHAnsi" w:cs="Arial"/>
          <w:sz w:val="20"/>
          <w:szCs w:val="20"/>
        </w:rPr>
      </w:pPr>
      <w:r w:rsidRPr="009F57B5">
        <w:rPr>
          <w:rFonts w:cs="Arial"/>
          <w:b/>
          <w:bCs/>
          <w:sz w:val="20"/>
          <w:szCs w:val="20"/>
        </w:rPr>
        <w:t>Bank znacząco wzmocnił się kapitałowo</w:t>
      </w:r>
      <w:r w:rsidRPr="009F57B5">
        <w:rPr>
          <w:rFonts w:cs="Arial"/>
          <w:bCs/>
          <w:sz w:val="20"/>
          <w:szCs w:val="20"/>
        </w:rPr>
        <w:t>. Fundusze własne (wraz ze zobowiązaniami z tytułu obligacji zaliczonymi do funduszy za zgodą KNF) wzrosły o 63% do 205 mln PLN, co w warunkach wzrostu skali działalności pozwoliło na wzrost współczynnika wypłacalności do 12,72%.</w:t>
      </w:r>
    </w:p>
    <w:p w:rsidR="00F77EC0" w:rsidRPr="00636E50" w:rsidRDefault="00F77EC0" w:rsidP="00636E50">
      <w:pPr>
        <w:pStyle w:val="Nagwek1"/>
      </w:pPr>
      <w:bookmarkStart w:id="4" w:name="_Toc368572354"/>
      <w:r w:rsidRPr="00636E50">
        <w:lastRenderedPageBreak/>
        <w:t>KRAKOWSKI BANK SPÓŁDZIELCZY</w:t>
      </w:r>
      <w:bookmarkEnd w:id="4"/>
    </w:p>
    <w:p w:rsidR="00F77EC0" w:rsidRPr="00366A2D" w:rsidRDefault="00F77EC0" w:rsidP="00F77EC0">
      <w:pPr>
        <w:tabs>
          <w:tab w:val="left" w:pos="6960"/>
        </w:tabs>
        <w:ind w:left="-510"/>
        <w:rPr>
          <w:rFonts w:asciiTheme="minorHAnsi" w:hAnsiTheme="minorHAnsi" w:cs="Arial"/>
          <w:sz w:val="22"/>
          <w:szCs w:val="22"/>
        </w:rPr>
      </w:pPr>
    </w:p>
    <w:tbl>
      <w:tblPr>
        <w:tblW w:w="3979" w:type="dxa"/>
        <w:tblInd w:w="60" w:type="dxa"/>
        <w:tblCellMar>
          <w:left w:w="70" w:type="dxa"/>
          <w:right w:w="70" w:type="dxa"/>
        </w:tblCellMar>
        <w:tblLook w:val="04A0"/>
      </w:tblPr>
      <w:tblGrid>
        <w:gridCol w:w="2600"/>
        <w:gridCol w:w="546"/>
        <w:gridCol w:w="833"/>
      </w:tblGrid>
      <w:tr w:rsidR="009F57B5" w:rsidTr="009057F0">
        <w:trPr>
          <w:trHeight w:val="252"/>
        </w:trPr>
        <w:tc>
          <w:tcPr>
            <w:tcW w:w="2600" w:type="dxa"/>
            <w:tcBorders>
              <w:top w:val="single" w:sz="8" w:space="0" w:color="FFFFFF"/>
              <w:left w:val="single" w:sz="8" w:space="0" w:color="FFFFFF"/>
              <w:bottom w:val="single" w:sz="8" w:space="0" w:color="1EAA82"/>
              <w:right w:val="nil"/>
            </w:tcBorders>
            <w:shd w:val="clear" w:color="000000" w:fill="FFFFFF"/>
            <w:vAlign w:val="center"/>
            <w:hideMark/>
          </w:tcPr>
          <w:p w:rsidR="009F57B5" w:rsidRDefault="009F57B5" w:rsidP="009057F0">
            <w:pPr>
              <w:rPr>
                <w:rFonts w:ascii="Calibri" w:hAnsi="Calibri" w:cs="Calibri"/>
                <w:b/>
                <w:bCs/>
                <w:color w:val="000000"/>
                <w:sz w:val="18"/>
                <w:szCs w:val="18"/>
              </w:rPr>
            </w:pPr>
            <w:r>
              <w:rPr>
                <w:rFonts w:ascii="Calibri" w:hAnsi="Calibri" w:cs="Calibri"/>
                <w:b/>
                <w:bCs/>
                <w:color w:val="000000"/>
                <w:sz w:val="18"/>
                <w:szCs w:val="18"/>
              </w:rPr>
              <w:t>Podstawowe dane</w:t>
            </w:r>
          </w:p>
        </w:tc>
        <w:tc>
          <w:tcPr>
            <w:tcW w:w="546" w:type="dxa"/>
            <w:tcBorders>
              <w:top w:val="single" w:sz="8" w:space="0" w:color="FFFFFF"/>
              <w:left w:val="nil"/>
              <w:bottom w:val="single" w:sz="8" w:space="0" w:color="1EAA82"/>
              <w:right w:val="single" w:sz="8" w:space="0" w:color="FFFFFF"/>
            </w:tcBorders>
            <w:shd w:val="clear" w:color="000000" w:fill="FFFFFF"/>
            <w:vAlign w:val="center"/>
            <w:hideMark/>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2012 </w:t>
            </w:r>
          </w:p>
        </w:tc>
        <w:tc>
          <w:tcPr>
            <w:tcW w:w="833" w:type="dxa"/>
            <w:tcBorders>
              <w:top w:val="single" w:sz="8" w:space="0" w:color="FFFFFF"/>
              <w:left w:val="nil"/>
              <w:bottom w:val="single" w:sz="8" w:space="0" w:color="1EAA82"/>
              <w:right w:val="single" w:sz="8" w:space="0" w:color="FFFFFF"/>
            </w:tcBorders>
            <w:shd w:val="clear" w:color="000000" w:fill="FFFFFF"/>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1H’13</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Suma bilansowa [mln PLN]</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2 236</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2 217</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Kapitały własne [mln PLN]</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141</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140</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 xml:space="preserve">Współczynnik wypłacalności [%]                      </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10,2</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11,1</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C/I [%]</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73,6</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83,8</w:t>
            </w:r>
          </w:p>
        </w:tc>
      </w:tr>
    </w:tbl>
    <w:p w:rsidR="009F57B5" w:rsidRPr="00366A2D" w:rsidRDefault="009F57B5" w:rsidP="00F77EC0">
      <w:pPr>
        <w:tabs>
          <w:tab w:val="left" w:pos="6960"/>
        </w:tabs>
        <w:ind w:left="-510"/>
        <w:rPr>
          <w:rFonts w:asciiTheme="minorHAnsi" w:hAnsiTheme="minorHAnsi" w:cs="Arial"/>
          <w:sz w:val="22"/>
          <w:szCs w:val="22"/>
        </w:rPr>
      </w:pPr>
    </w:p>
    <w:p w:rsidR="00F77EC0" w:rsidRDefault="00F77EC0" w:rsidP="009870BB">
      <w:pPr>
        <w:spacing w:line="276" w:lineRule="auto"/>
        <w:ind w:left="-426"/>
        <w:jc w:val="both"/>
        <w:rPr>
          <w:rFonts w:ascii="Calibri" w:hAnsi="Calibri" w:cs="Arial"/>
          <w:bCs/>
          <w:sz w:val="22"/>
          <w:szCs w:val="22"/>
        </w:rPr>
      </w:pPr>
      <w:r w:rsidRPr="00F77EC0">
        <w:rPr>
          <w:rFonts w:ascii="Calibri" w:hAnsi="Calibri" w:cs="Arial"/>
          <w:bCs/>
          <w:sz w:val="22"/>
          <w:szCs w:val="22"/>
        </w:rPr>
        <w:t>Krakowski Bank Spółdzielczy w 1H’13 wypracował 40,2 mln PLN zysku na działalności bankowej i 2,0 mln PLN zysku netto.</w:t>
      </w:r>
    </w:p>
    <w:p w:rsidR="00F77EC0" w:rsidRDefault="00F77EC0" w:rsidP="00F77EC0">
      <w:pPr>
        <w:ind w:left="-510"/>
        <w:jc w:val="both"/>
        <w:rPr>
          <w:rFonts w:ascii="Calibri" w:hAnsi="Calibri" w:cs="Arial"/>
          <w:bCs/>
          <w:sz w:val="22"/>
          <w:szCs w:val="22"/>
        </w:rPr>
      </w:pPr>
    </w:p>
    <w:p w:rsidR="00F77EC0" w:rsidRDefault="00E76CBF" w:rsidP="00F77EC0">
      <w:pPr>
        <w:ind w:left="-510"/>
        <w:jc w:val="both"/>
        <w:rPr>
          <w:rFonts w:ascii="Calibri" w:hAnsi="Calibri" w:cs="Arial"/>
          <w:bCs/>
          <w:sz w:val="22"/>
          <w:szCs w:val="22"/>
        </w:rPr>
      </w:pPr>
      <w:r>
        <w:rPr>
          <w:noProof/>
          <w:szCs w:val="22"/>
        </w:rPr>
        <w:drawing>
          <wp:anchor distT="0" distB="0" distL="114300" distR="114300" simplePos="0" relativeHeight="251644416" behindDoc="1" locked="0" layoutInCell="1" allowOverlap="1">
            <wp:simplePos x="0" y="0"/>
            <wp:positionH relativeFrom="column">
              <wp:posOffset>3124835</wp:posOffset>
            </wp:positionH>
            <wp:positionV relativeFrom="paragraph">
              <wp:posOffset>66675</wp:posOffset>
            </wp:positionV>
            <wp:extent cx="3457575" cy="2133600"/>
            <wp:effectExtent l="19050" t="0" r="9525" b="0"/>
            <wp:wrapNone/>
            <wp:docPr id="1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3457575" cy="2133600"/>
                    </a:xfrm>
                    <a:prstGeom prst="rect">
                      <a:avLst/>
                    </a:prstGeom>
                    <a:noFill/>
                    <a:ln w="9525">
                      <a:noFill/>
                      <a:miter lim="800000"/>
                      <a:headEnd/>
                      <a:tailEnd/>
                    </a:ln>
                  </pic:spPr>
                </pic:pic>
              </a:graphicData>
            </a:graphic>
          </wp:anchor>
        </w:drawing>
      </w:r>
      <w:r w:rsidR="00F77EC0" w:rsidRPr="00F77EC0">
        <w:rPr>
          <w:noProof/>
          <w:szCs w:val="22"/>
        </w:rPr>
        <w:drawing>
          <wp:anchor distT="0" distB="0" distL="114300" distR="114300" simplePos="0" relativeHeight="251643392" behindDoc="1" locked="0" layoutInCell="1" allowOverlap="1">
            <wp:simplePos x="0" y="0"/>
            <wp:positionH relativeFrom="column">
              <wp:posOffset>-427990</wp:posOffset>
            </wp:positionH>
            <wp:positionV relativeFrom="paragraph">
              <wp:posOffset>0</wp:posOffset>
            </wp:positionV>
            <wp:extent cx="3524250" cy="2266950"/>
            <wp:effectExtent l="19050" t="0" r="0" b="0"/>
            <wp:wrapNone/>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3524250" cy="2266950"/>
                    </a:xfrm>
                    <a:prstGeom prst="rect">
                      <a:avLst/>
                    </a:prstGeom>
                    <a:noFill/>
                    <a:ln w="9525">
                      <a:noFill/>
                      <a:miter lim="800000"/>
                      <a:headEnd/>
                      <a:tailEnd/>
                    </a:ln>
                  </pic:spPr>
                </pic:pic>
              </a:graphicData>
            </a:graphic>
          </wp:anchor>
        </w:drawing>
      </w:r>
    </w:p>
    <w:p w:rsidR="00F77EC0" w:rsidRDefault="00F77EC0" w:rsidP="00F77EC0">
      <w:pPr>
        <w:ind w:left="-510"/>
        <w:jc w:val="both"/>
        <w:rPr>
          <w:rFonts w:ascii="Calibri" w:hAnsi="Calibri" w:cs="Arial"/>
          <w:bCs/>
          <w:sz w:val="22"/>
          <w:szCs w:val="22"/>
        </w:rPr>
      </w:pPr>
    </w:p>
    <w:p w:rsidR="00F77EC0" w:rsidRDefault="00F77EC0" w:rsidP="00F77EC0">
      <w:pPr>
        <w:ind w:left="-510"/>
        <w:jc w:val="both"/>
        <w:rPr>
          <w:rFonts w:ascii="Calibri" w:hAnsi="Calibri" w:cs="Arial"/>
          <w:bCs/>
          <w:sz w:val="22"/>
          <w:szCs w:val="22"/>
        </w:rPr>
      </w:pPr>
    </w:p>
    <w:p w:rsidR="00F77EC0" w:rsidRDefault="00F77EC0" w:rsidP="00F77EC0">
      <w:pPr>
        <w:ind w:left="-510"/>
        <w:jc w:val="both"/>
        <w:rPr>
          <w:rFonts w:ascii="Calibri" w:hAnsi="Calibri" w:cs="Arial"/>
          <w:bCs/>
          <w:sz w:val="22"/>
          <w:szCs w:val="22"/>
        </w:rPr>
      </w:pPr>
    </w:p>
    <w:p w:rsidR="00F77EC0" w:rsidRDefault="00F77EC0" w:rsidP="00F77EC0">
      <w:pPr>
        <w:ind w:left="-510"/>
        <w:jc w:val="both"/>
        <w:rPr>
          <w:rFonts w:ascii="Calibri" w:hAnsi="Calibri" w:cs="Arial"/>
          <w:bCs/>
          <w:sz w:val="22"/>
          <w:szCs w:val="22"/>
        </w:rPr>
      </w:pPr>
    </w:p>
    <w:p w:rsidR="00F77EC0" w:rsidRDefault="00F77EC0" w:rsidP="00F77EC0">
      <w:pPr>
        <w:ind w:left="-510"/>
        <w:jc w:val="both"/>
        <w:rPr>
          <w:rFonts w:ascii="Calibri" w:hAnsi="Calibri" w:cs="Arial"/>
          <w:bCs/>
          <w:sz w:val="22"/>
          <w:szCs w:val="22"/>
        </w:rPr>
      </w:pPr>
    </w:p>
    <w:p w:rsidR="00F77EC0" w:rsidRDefault="00F77EC0" w:rsidP="00F77EC0">
      <w:pPr>
        <w:ind w:left="-510"/>
        <w:jc w:val="both"/>
        <w:rPr>
          <w:rFonts w:ascii="Calibri" w:hAnsi="Calibri" w:cs="Arial"/>
          <w:bCs/>
          <w:sz w:val="22"/>
          <w:szCs w:val="22"/>
        </w:rPr>
      </w:pPr>
    </w:p>
    <w:p w:rsidR="00F77EC0" w:rsidRDefault="00F77EC0" w:rsidP="00F77EC0">
      <w:pPr>
        <w:ind w:left="-510"/>
        <w:jc w:val="both"/>
        <w:rPr>
          <w:rFonts w:ascii="Calibri" w:hAnsi="Calibri" w:cs="Arial"/>
          <w:bCs/>
          <w:sz w:val="22"/>
          <w:szCs w:val="22"/>
        </w:rPr>
      </w:pPr>
    </w:p>
    <w:p w:rsidR="00E76CBF" w:rsidRDefault="00E76CBF" w:rsidP="00F77EC0">
      <w:pPr>
        <w:ind w:left="-510"/>
        <w:jc w:val="both"/>
        <w:rPr>
          <w:rFonts w:ascii="Calibri" w:hAnsi="Calibri" w:cs="Arial"/>
          <w:bCs/>
          <w:sz w:val="22"/>
          <w:szCs w:val="22"/>
        </w:rPr>
      </w:pPr>
    </w:p>
    <w:p w:rsidR="00E76CBF" w:rsidRDefault="00E76CBF" w:rsidP="00F77EC0">
      <w:pPr>
        <w:ind w:left="-510"/>
        <w:jc w:val="both"/>
        <w:rPr>
          <w:rFonts w:ascii="Calibri" w:hAnsi="Calibri" w:cs="Arial"/>
          <w:bCs/>
          <w:sz w:val="22"/>
          <w:szCs w:val="22"/>
        </w:rPr>
      </w:pPr>
    </w:p>
    <w:p w:rsidR="00E76CBF" w:rsidRDefault="00E76CBF" w:rsidP="00F77EC0">
      <w:pPr>
        <w:ind w:left="-510"/>
        <w:jc w:val="both"/>
        <w:rPr>
          <w:rFonts w:ascii="Calibri" w:hAnsi="Calibri" w:cs="Arial"/>
          <w:bCs/>
          <w:sz w:val="22"/>
          <w:szCs w:val="22"/>
        </w:rPr>
      </w:pPr>
    </w:p>
    <w:p w:rsidR="00E76CBF" w:rsidRDefault="00E76CBF" w:rsidP="00F77EC0">
      <w:pPr>
        <w:ind w:left="-510"/>
        <w:jc w:val="both"/>
        <w:rPr>
          <w:rFonts w:ascii="Calibri" w:hAnsi="Calibri" w:cs="Arial"/>
          <w:bCs/>
          <w:sz w:val="22"/>
          <w:szCs w:val="22"/>
        </w:rPr>
      </w:pPr>
    </w:p>
    <w:p w:rsidR="00E76CBF" w:rsidRDefault="00E76CBF" w:rsidP="00F77EC0">
      <w:pPr>
        <w:ind w:left="-510"/>
        <w:jc w:val="both"/>
        <w:rPr>
          <w:rFonts w:ascii="Calibri" w:hAnsi="Calibri" w:cs="Arial"/>
          <w:bCs/>
          <w:sz w:val="22"/>
          <w:szCs w:val="22"/>
        </w:rPr>
      </w:pPr>
    </w:p>
    <w:p w:rsidR="00E76CBF" w:rsidRDefault="00E76CBF" w:rsidP="00F77EC0">
      <w:pPr>
        <w:ind w:left="-510"/>
        <w:jc w:val="both"/>
        <w:rPr>
          <w:rFonts w:ascii="Calibri" w:hAnsi="Calibri" w:cs="Arial"/>
          <w:bCs/>
          <w:sz w:val="22"/>
          <w:szCs w:val="22"/>
        </w:rPr>
      </w:pPr>
    </w:p>
    <w:p w:rsidR="009870BB" w:rsidRPr="00E76CBF" w:rsidRDefault="009870BB" w:rsidP="009870BB">
      <w:pPr>
        <w:numPr>
          <w:ilvl w:val="0"/>
          <w:numId w:val="22"/>
        </w:numPr>
        <w:spacing w:line="276" w:lineRule="auto"/>
        <w:ind w:left="-426" w:firstLine="0"/>
        <w:jc w:val="both"/>
        <w:rPr>
          <w:rFonts w:ascii="Calibri" w:hAnsi="Calibri" w:cs="Arial"/>
          <w:bCs/>
          <w:sz w:val="22"/>
          <w:szCs w:val="22"/>
        </w:rPr>
      </w:pPr>
      <w:r w:rsidRPr="00E76CBF">
        <w:rPr>
          <w:rFonts w:ascii="Calibri" w:hAnsi="Calibri" w:cs="Arial"/>
          <w:bCs/>
          <w:sz w:val="22"/>
          <w:szCs w:val="22"/>
        </w:rPr>
        <w:t xml:space="preserve">Zysk netto spadł o ok. 6 mln PLN (ok. 75%) </w:t>
      </w:r>
      <w:r>
        <w:rPr>
          <w:rFonts w:ascii="Calibri" w:hAnsi="Calibri" w:cs="Arial"/>
          <w:bCs/>
          <w:sz w:val="22"/>
          <w:szCs w:val="22"/>
        </w:rPr>
        <w:t xml:space="preserve">głównie </w:t>
      </w:r>
      <w:r w:rsidRPr="00E76CBF">
        <w:rPr>
          <w:rFonts w:ascii="Calibri" w:hAnsi="Calibri" w:cs="Arial"/>
          <w:bCs/>
          <w:sz w:val="22"/>
          <w:szCs w:val="22"/>
        </w:rPr>
        <w:t xml:space="preserve">w wyniku słabszego wyniku z tytułu odsetek, do czego przyczynił się spadek </w:t>
      </w:r>
      <w:r>
        <w:rPr>
          <w:rFonts w:ascii="Calibri" w:hAnsi="Calibri" w:cs="Arial"/>
          <w:bCs/>
          <w:sz w:val="22"/>
          <w:szCs w:val="22"/>
        </w:rPr>
        <w:t>stóp procentowych</w:t>
      </w:r>
      <w:r w:rsidRPr="00E76CBF">
        <w:rPr>
          <w:rFonts w:ascii="Calibri" w:hAnsi="Calibri" w:cs="Arial"/>
          <w:bCs/>
          <w:sz w:val="22"/>
          <w:szCs w:val="22"/>
        </w:rPr>
        <w:t xml:space="preserve">; </w:t>
      </w:r>
    </w:p>
    <w:p w:rsidR="009870BB" w:rsidRPr="00E76CBF" w:rsidRDefault="009870BB" w:rsidP="009870BB">
      <w:pPr>
        <w:numPr>
          <w:ilvl w:val="0"/>
          <w:numId w:val="22"/>
        </w:numPr>
        <w:spacing w:line="276" w:lineRule="auto"/>
        <w:ind w:left="-426" w:firstLine="0"/>
        <w:jc w:val="both"/>
        <w:rPr>
          <w:rFonts w:ascii="Calibri" w:hAnsi="Calibri" w:cs="Arial"/>
          <w:bCs/>
          <w:sz w:val="22"/>
          <w:szCs w:val="22"/>
        </w:rPr>
      </w:pPr>
      <w:r w:rsidRPr="00E76CBF">
        <w:rPr>
          <w:rFonts w:ascii="Calibri" w:hAnsi="Calibri" w:cs="Arial"/>
          <w:bCs/>
          <w:sz w:val="22"/>
          <w:szCs w:val="22"/>
        </w:rPr>
        <w:t xml:space="preserve">Bank przebudował strukturę aktywów w kierunku zwiększenia udziału papierów wartościowych o 8,7 pp. do 20,5%. </w:t>
      </w:r>
      <w:r>
        <w:rPr>
          <w:rFonts w:ascii="Calibri" w:hAnsi="Calibri" w:cs="Arial"/>
          <w:bCs/>
          <w:sz w:val="22"/>
          <w:szCs w:val="22"/>
        </w:rPr>
        <w:br/>
      </w:r>
      <w:r w:rsidRPr="00E76CBF">
        <w:rPr>
          <w:rFonts w:ascii="Calibri" w:hAnsi="Calibri" w:cs="Arial"/>
          <w:bCs/>
          <w:sz w:val="22"/>
          <w:szCs w:val="22"/>
        </w:rPr>
        <w:t xml:space="preserve">W strukturze portfela dominujący jest udział papierów budżetu państwa i budżetów terytorialnych (ponad 88% udziału w strukturze portfela) oraz w mniejszym stopniu banków (ok. 8%); </w:t>
      </w:r>
    </w:p>
    <w:p w:rsidR="009870BB" w:rsidRPr="00E76CBF" w:rsidRDefault="009870BB" w:rsidP="009870BB">
      <w:pPr>
        <w:numPr>
          <w:ilvl w:val="0"/>
          <w:numId w:val="22"/>
        </w:numPr>
        <w:spacing w:line="276" w:lineRule="auto"/>
        <w:ind w:left="-426" w:firstLine="0"/>
        <w:jc w:val="both"/>
        <w:rPr>
          <w:rFonts w:ascii="Calibri" w:hAnsi="Calibri" w:cs="Arial"/>
          <w:bCs/>
          <w:sz w:val="22"/>
          <w:szCs w:val="22"/>
        </w:rPr>
      </w:pPr>
      <w:r w:rsidRPr="00E76CBF">
        <w:rPr>
          <w:rFonts w:ascii="Calibri" w:hAnsi="Calibri" w:cs="Arial"/>
          <w:bCs/>
          <w:sz w:val="22"/>
          <w:szCs w:val="22"/>
        </w:rPr>
        <w:t>Koszty działania banku pozostały pod kontrolą (lekko obniżyły się przez zmniejszenie wynagrodzeń), ale w skutek niższego wyniku na działalności bankowej wskaźnik kosztów do dochodów wzrósł do 83,8%;</w:t>
      </w:r>
    </w:p>
    <w:p w:rsidR="009870BB" w:rsidRPr="00E76CBF" w:rsidRDefault="009870BB" w:rsidP="009870BB">
      <w:pPr>
        <w:numPr>
          <w:ilvl w:val="0"/>
          <w:numId w:val="22"/>
        </w:numPr>
        <w:spacing w:line="276" w:lineRule="auto"/>
        <w:ind w:left="-426" w:firstLine="0"/>
        <w:jc w:val="both"/>
        <w:rPr>
          <w:rFonts w:ascii="Calibri" w:hAnsi="Calibri" w:cs="Arial"/>
          <w:bCs/>
          <w:sz w:val="22"/>
          <w:szCs w:val="22"/>
        </w:rPr>
      </w:pPr>
      <w:r w:rsidRPr="00E76CBF">
        <w:rPr>
          <w:rFonts w:ascii="Calibri" w:hAnsi="Calibri" w:cs="Arial"/>
          <w:bCs/>
          <w:sz w:val="22"/>
          <w:szCs w:val="22"/>
        </w:rPr>
        <w:t>Portfel kredytowy banku wzrósł o 1%, a jego jakość uległa pogorszeniu o 0,6 pp. w porówn</w:t>
      </w:r>
      <w:r>
        <w:rPr>
          <w:rFonts w:ascii="Calibri" w:hAnsi="Calibri" w:cs="Arial"/>
          <w:bCs/>
          <w:sz w:val="22"/>
          <w:szCs w:val="22"/>
        </w:rPr>
        <w:t>aniu ze stanem na koniec ub. r.</w:t>
      </w:r>
      <w:r w:rsidRPr="00E76CBF">
        <w:rPr>
          <w:rFonts w:ascii="Calibri" w:hAnsi="Calibri" w:cs="Arial"/>
          <w:bCs/>
          <w:sz w:val="22"/>
          <w:szCs w:val="22"/>
        </w:rPr>
        <w:t>;</w:t>
      </w:r>
    </w:p>
    <w:p w:rsidR="009870BB" w:rsidRPr="00E76CBF" w:rsidRDefault="009870BB" w:rsidP="009870BB">
      <w:pPr>
        <w:numPr>
          <w:ilvl w:val="0"/>
          <w:numId w:val="22"/>
        </w:numPr>
        <w:spacing w:line="276" w:lineRule="auto"/>
        <w:ind w:left="-426" w:firstLine="0"/>
        <w:jc w:val="both"/>
        <w:rPr>
          <w:rFonts w:ascii="Calibri" w:hAnsi="Calibri" w:cs="Arial"/>
          <w:bCs/>
          <w:sz w:val="22"/>
          <w:szCs w:val="22"/>
        </w:rPr>
      </w:pPr>
      <w:r w:rsidRPr="00E76CBF">
        <w:rPr>
          <w:rFonts w:ascii="Calibri" w:hAnsi="Calibri" w:cs="Arial"/>
          <w:bCs/>
          <w:sz w:val="22"/>
          <w:szCs w:val="22"/>
        </w:rPr>
        <w:t>Współczynnik wypłacalności banku wyniósł 11,08%. Mając na uwadze, że relacja kredytów do depozytów jest niska (ok. 74%) to bank ma przestrzeń do zwiększenia akcji kredytowej.</w:t>
      </w:r>
    </w:p>
    <w:p w:rsidR="009870BB" w:rsidRDefault="009870BB" w:rsidP="00F77EC0">
      <w:pPr>
        <w:ind w:left="-510"/>
        <w:jc w:val="both"/>
        <w:rPr>
          <w:rFonts w:ascii="Calibri" w:hAnsi="Calibri" w:cs="Arial"/>
          <w:bCs/>
          <w:sz w:val="22"/>
          <w:szCs w:val="22"/>
        </w:rPr>
      </w:pPr>
    </w:p>
    <w:p w:rsidR="00E76CBF" w:rsidRDefault="006B5E2F" w:rsidP="00F77EC0">
      <w:pPr>
        <w:ind w:left="-510"/>
        <w:jc w:val="both"/>
        <w:rPr>
          <w:rFonts w:ascii="Calibri" w:hAnsi="Calibri" w:cs="Arial"/>
          <w:bCs/>
          <w:sz w:val="22"/>
          <w:szCs w:val="22"/>
        </w:rPr>
      </w:pPr>
      <w:r>
        <w:rPr>
          <w:rFonts w:ascii="Calibri" w:hAnsi="Calibri" w:cs="Arial"/>
          <w:bCs/>
          <w:noProof/>
          <w:sz w:val="22"/>
          <w:szCs w:val="22"/>
        </w:rPr>
        <w:pict>
          <v:shapetype id="_x0000_t202" coordsize="21600,21600" o:spt="202" path="m,l,21600r21600,l21600,xe">
            <v:stroke joinstyle="miter"/>
            <v:path gradientshapeok="t" o:connecttype="rect"/>
          </v:shapetype>
          <v:shape id="Text Box 288" o:spid="_x0000_s1026" type="#_x0000_t202" style="position:absolute;left:0;text-align:left;margin-left:-31.2pt;margin-top:4.75pt;width:546.5pt;height:215.25pt;z-index:-251638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" strokecolor="white [3212]" strokeweight="0">
            <v:fill opacity="0"/>
            <v:textbox>
              <w:txbxContent>
                <w:p w:rsidR="009057F0" w:rsidRDefault="009057F0"/>
              </w:txbxContent>
            </v:textbox>
          </v:shape>
        </w:pict>
      </w:r>
    </w:p>
    <w:p w:rsidR="00F77EC0" w:rsidRDefault="00F77EC0" w:rsidP="00F77EC0">
      <w:pPr>
        <w:ind w:left="-510"/>
        <w:jc w:val="both"/>
        <w:rPr>
          <w:rFonts w:ascii="Calibri" w:hAnsi="Calibri" w:cs="Arial"/>
          <w:bCs/>
          <w:sz w:val="22"/>
          <w:szCs w:val="22"/>
        </w:rPr>
      </w:pPr>
    </w:p>
    <w:p w:rsidR="00F77EC0" w:rsidRDefault="00F77EC0" w:rsidP="00F77EC0">
      <w:pPr>
        <w:ind w:left="-510"/>
        <w:jc w:val="both"/>
        <w:rPr>
          <w:rFonts w:ascii="Calibri" w:hAnsi="Calibri" w:cs="Arial"/>
          <w:bCs/>
          <w:sz w:val="22"/>
          <w:szCs w:val="22"/>
        </w:rPr>
      </w:pPr>
    </w:p>
    <w:p w:rsidR="00F77EC0" w:rsidRPr="00F77EC0" w:rsidRDefault="00F77EC0" w:rsidP="00F77EC0">
      <w:pPr>
        <w:ind w:left="-510"/>
        <w:jc w:val="both"/>
        <w:rPr>
          <w:rFonts w:ascii="Calibri" w:hAnsi="Calibri" w:cs="Arial"/>
          <w:bCs/>
          <w:sz w:val="22"/>
          <w:szCs w:val="22"/>
        </w:rPr>
      </w:pPr>
    </w:p>
    <w:p w:rsidR="00F77EC0" w:rsidRDefault="00F77EC0" w:rsidP="00F77EC0">
      <w:pPr>
        <w:tabs>
          <w:tab w:val="left" w:pos="6960"/>
        </w:tabs>
        <w:ind w:left="-510"/>
        <w:rPr>
          <w:rFonts w:asciiTheme="minorHAnsi" w:hAnsiTheme="minorHAnsi" w:cs="Arial"/>
          <w:sz w:val="26"/>
          <w:szCs w:val="26"/>
        </w:rPr>
      </w:pPr>
    </w:p>
    <w:p w:rsidR="00CF2B28" w:rsidRDefault="00CF2B28">
      <w:pPr>
        <w:rPr>
          <w:rFonts w:asciiTheme="minorHAnsi" w:hAnsiTheme="minorHAnsi" w:cs="Arial"/>
          <w:sz w:val="20"/>
          <w:szCs w:val="20"/>
        </w:rPr>
      </w:pPr>
      <w:r>
        <w:rPr>
          <w:rFonts w:asciiTheme="minorHAnsi" w:hAnsiTheme="minorHAnsi" w:cs="Arial"/>
          <w:sz w:val="20"/>
          <w:szCs w:val="20"/>
        </w:rPr>
        <w:br w:type="page"/>
      </w:r>
    </w:p>
    <w:p w:rsidR="00E76CBF" w:rsidRPr="00636E50" w:rsidRDefault="00E76CBF" w:rsidP="00636E50">
      <w:pPr>
        <w:pStyle w:val="Nagwek1"/>
      </w:pPr>
      <w:bookmarkStart w:id="5" w:name="_Toc368572355"/>
      <w:r w:rsidRPr="00636E50">
        <w:lastRenderedPageBreak/>
        <w:t>POLSKI BANK SPÓŁDZIELCZY W CIECHANOWIE</w:t>
      </w:r>
      <w:bookmarkEnd w:id="5"/>
    </w:p>
    <w:p w:rsidR="00E76CBF" w:rsidRPr="00366A2D" w:rsidRDefault="00E76CBF" w:rsidP="00E76CBF">
      <w:pPr>
        <w:tabs>
          <w:tab w:val="left" w:pos="6960"/>
        </w:tabs>
        <w:ind w:left="-510"/>
        <w:rPr>
          <w:rFonts w:asciiTheme="minorHAnsi" w:hAnsiTheme="minorHAnsi" w:cs="Arial"/>
          <w:sz w:val="22"/>
          <w:szCs w:val="22"/>
        </w:rPr>
      </w:pPr>
    </w:p>
    <w:tbl>
      <w:tblPr>
        <w:tblW w:w="3979" w:type="dxa"/>
        <w:tblInd w:w="60" w:type="dxa"/>
        <w:tblCellMar>
          <w:left w:w="70" w:type="dxa"/>
          <w:right w:w="70" w:type="dxa"/>
        </w:tblCellMar>
        <w:tblLook w:val="04A0"/>
      </w:tblPr>
      <w:tblGrid>
        <w:gridCol w:w="2600"/>
        <w:gridCol w:w="546"/>
        <w:gridCol w:w="833"/>
      </w:tblGrid>
      <w:tr w:rsidR="009F57B5" w:rsidTr="009057F0">
        <w:trPr>
          <w:trHeight w:val="252"/>
        </w:trPr>
        <w:tc>
          <w:tcPr>
            <w:tcW w:w="2600" w:type="dxa"/>
            <w:tcBorders>
              <w:top w:val="single" w:sz="8" w:space="0" w:color="FFFFFF"/>
              <w:left w:val="single" w:sz="8" w:space="0" w:color="FFFFFF"/>
              <w:bottom w:val="single" w:sz="8" w:space="0" w:color="1EAA82"/>
              <w:right w:val="nil"/>
            </w:tcBorders>
            <w:shd w:val="clear" w:color="000000" w:fill="FFFFFF"/>
            <w:vAlign w:val="center"/>
            <w:hideMark/>
          </w:tcPr>
          <w:p w:rsidR="009F57B5" w:rsidRDefault="009F57B5" w:rsidP="009057F0">
            <w:pPr>
              <w:rPr>
                <w:rFonts w:ascii="Calibri" w:hAnsi="Calibri" w:cs="Calibri"/>
                <w:b/>
                <w:bCs/>
                <w:color w:val="000000"/>
                <w:sz w:val="18"/>
                <w:szCs w:val="18"/>
              </w:rPr>
            </w:pPr>
            <w:r>
              <w:rPr>
                <w:rFonts w:ascii="Calibri" w:hAnsi="Calibri" w:cs="Calibri"/>
                <w:b/>
                <w:bCs/>
                <w:color w:val="000000"/>
                <w:sz w:val="18"/>
                <w:szCs w:val="18"/>
              </w:rPr>
              <w:t>Podstawowe dane</w:t>
            </w:r>
          </w:p>
        </w:tc>
        <w:tc>
          <w:tcPr>
            <w:tcW w:w="546" w:type="dxa"/>
            <w:tcBorders>
              <w:top w:val="single" w:sz="8" w:space="0" w:color="FFFFFF"/>
              <w:left w:val="nil"/>
              <w:bottom w:val="single" w:sz="8" w:space="0" w:color="1EAA82"/>
              <w:right w:val="single" w:sz="8" w:space="0" w:color="FFFFFF"/>
            </w:tcBorders>
            <w:shd w:val="clear" w:color="000000" w:fill="FFFFFF"/>
            <w:vAlign w:val="center"/>
            <w:hideMark/>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2012 </w:t>
            </w:r>
          </w:p>
        </w:tc>
        <w:tc>
          <w:tcPr>
            <w:tcW w:w="833" w:type="dxa"/>
            <w:tcBorders>
              <w:top w:val="single" w:sz="8" w:space="0" w:color="FFFFFF"/>
              <w:left w:val="nil"/>
              <w:bottom w:val="single" w:sz="8" w:space="0" w:color="1EAA82"/>
              <w:right w:val="single" w:sz="8" w:space="0" w:color="FFFFFF"/>
            </w:tcBorders>
            <w:shd w:val="clear" w:color="000000" w:fill="FFFFFF"/>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1H’13</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Suma bilansowa [mln PLN]</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1 292</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1 414</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Kapitały własne [mln PLN]</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84</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91</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 xml:space="preserve">Współczynnik wypłacalności [%]                      </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10,7</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10,9</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C/I [%]</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61,2</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69,0</w:t>
            </w:r>
          </w:p>
        </w:tc>
      </w:tr>
    </w:tbl>
    <w:p w:rsidR="009F57B5" w:rsidRPr="00366A2D" w:rsidRDefault="009F57B5" w:rsidP="00E76CBF">
      <w:pPr>
        <w:tabs>
          <w:tab w:val="left" w:pos="6960"/>
        </w:tabs>
        <w:ind w:left="-510"/>
        <w:rPr>
          <w:rFonts w:asciiTheme="minorHAnsi" w:hAnsiTheme="minorHAnsi" w:cs="Arial"/>
          <w:sz w:val="22"/>
          <w:szCs w:val="22"/>
        </w:rPr>
      </w:pPr>
    </w:p>
    <w:p w:rsidR="00E76CBF" w:rsidRPr="004F6005" w:rsidRDefault="00E76CBF" w:rsidP="009870BB">
      <w:pPr>
        <w:tabs>
          <w:tab w:val="left" w:pos="6960"/>
        </w:tabs>
        <w:spacing w:line="276" w:lineRule="auto"/>
        <w:ind w:left="-510"/>
        <w:jc w:val="both"/>
        <w:rPr>
          <w:rFonts w:ascii="Calibri" w:hAnsi="Calibri" w:cs="Arial"/>
          <w:bCs/>
          <w:sz w:val="22"/>
          <w:szCs w:val="22"/>
        </w:rPr>
      </w:pPr>
      <w:r w:rsidRPr="004F6005">
        <w:rPr>
          <w:rFonts w:ascii="Calibri" w:hAnsi="Calibri" w:cs="Arial"/>
          <w:b/>
          <w:bCs/>
          <w:sz w:val="22"/>
          <w:szCs w:val="22"/>
        </w:rPr>
        <w:t xml:space="preserve">Słabszy wynik odsetkowy negatywnie wpłynął na wynik netto. </w:t>
      </w:r>
      <w:r w:rsidRPr="004F6005">
        <w:rPr>
          <w:rFonts w:ascii="Calibri" w:hAnsi="Calibri" w:cs="Arial"/>
          <w:bCs/>
          <w:sz w:val="22"/>
          <w:szCs w:val="22"/>
        </w:rPr>
        <w:t>Polski Bank Spółdzielczy w 1H’13 wypracował 24,0 mln PLN zysku na działalności bankowej i 2,8 mln PLN zysku netto.</w:t>
      </w:r>
    </w:p>
    <w:p w:rsidR="00E76CBF" w:rsidRDefault="00E76CBF" w:rsidP="00E76CBF">
      <w:pPr>
        <w:tabs>
          <w:tab w:val="left" w:pos="6960"/>
        </w:tabs>
        <w:ind w:left="-510"/>
        <w:rPr>
          <w:rFonts w:asciiTheme="minorHAnsi" w:hAnsiTheme="minorHAnsi" w:cs="Arial"/>
          <w:sz w:val="26"/>
          <w:szCs w:val="26"/>
        </w:rPr>
      </w:pPr>
      <w:r>
        <w:rPr>
          <w:noProof/>
          <w:szCs w:val="26"/>
        </w:rPr>
        <w:drawing>
          <wp:anchor distT="0" distB="0" distL="114300" distR="114300" simplePos="0" relativeHeight="251645440" behindDoc="1" locked="0" layoutInCell="1" allowOverlap="1">
            <wp:simplePos x="0" y="0"/>
            <wp:positionH relativeFrom="column">
              <wp:posOffset>3181985</wp:posOffset>
            </wp:positionH>
            <wp:positionV relativeFrom="paragraph">
              <wp:posOffset>58420</wp:posOffset>
            </wp:positionV>
            <wp:extent cx="3457575" cy="2114550"/>
            <wp:effectExtent l="19050" t="0" r="9525" b="0"/>
            <wp:wrapNone/>
            <wp:docPr id="1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3457575" cy="2114550"/>
                    </a:xfrm>
                    <a:prstGeom prst="rect">
                      <a:avLst/>
                    </a:prstGeom>
                    <a:noFill/>
                    <a:ln w="9525">
                      <a:noFill/>
                      <a:miter lim="800000"/>
                      <a:headEnd/>
                      <a:tailEnd/>
                    </a:ln>
                  </pic:spPr>
                </pic:pic>
              </a:graphicData>
            </a:graphic>
          </wp:anchor>
        </w:drawing>
      </w:r>
      <w:r>
        <w:rPr>
          <w:noProof/>
          <w:szCs w:val="26"/>
        </w:rPr>
        <w:drawing>
          <wp:anchor distT="0" distB="0" distL="114300" distR="114300" simplePos="0" relativeHeight="251646464" behindDoc="1" locked="0" layoutInCell="1" allowOverlap="1">
            <wp:simplePos x="0" y="0"/>
            <wp:positionH relativeFrom="column">
              <wp:posOffset>-399415</wp:posOffset>
            </wp:positionH>
            <wp:positionV relativeFrom="paragraph">
              <wp:posOffset>58420</wp:posOffset>
            </wp:positionV>
            <wp:extent cx="3524250" cy="2095500"/>
            <wp:effectExtent l="19050" t="0" r="0" b="0"/>
            <wp:wrapNone/>
            <wp:docPr id="16"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3524250" cy="2095500"/>
                    </a:xfrm>
                    <a:prstGeom prst="rect">
                      <a:avLst/>
                    </a:prstGeom>
                    <a:noFill/>
                    <a:ln w="9525">
                      <a:noFill/>
                      <a:miter lim="800000"/>
                      <a:headEnd/>
                      <a:tailEnd/>
                    </a:ln>
                  </pic:spPr>
                </pic:pic>
              </a:graphicData>
            </a:graphic>
          </wp:anchor>
        </w:drawing>
      </w:r>
    </w:p>
    <w:p w:rsidR="00E76CBF" w:rsidRDefault="00E76CBF" w:rsidP="00E76CBF">
      <w:pPr>
        <w:tabs>
          <w:tab w:val="left" w:pos="6960"/>
        </w:tabs>
        <w:ind w:left="-510"/>
        <w:rPr>
          <w:rFonts w:asciiTheme="minorHAnsi" w:hAnsiTheme="minorHAnsi" w:cs="Arial"/>
          <w:sz w:val="26"/>
          <w:szCs w:val="26"/>
        </w:rPr>
      </w:pPr>
    </w:p>
    <w:p w:rsidR="004F6005" w:rsidRDefault="004F6005" w:rsidP="00E76CBF">
      <w:pPr>
        <w:tabs>
          <w:tab w:val="left" w:pos="6960"/>
        </w:tabs>
        <w:ind w:left="-510"/>
        <w:rPr>
          <w:rFonts w:asciiTheme="minorHAnsi" w:hAnsiTheme="minorHAnsi" w:cs="Arial"/>
          <w:sz w:val="26"/>
          <w:szCs w:val="26"/>
        </w:rPr>
      </w:pPr>
    </w:p>
    <w:p w:rsidR="004F6005" w:rsidRDefault="004F6005" w:rsidP="00E76CBF">
      <w:pPr>
        <w:tabs>
          <w:tab w:val="left" w:pos="6960"/>
        </w:tabs>
        <w:ind w:left="-510"/>
        <w:rPr>
          <w:rFonts w:asciiTheme="minorHAnsi" w:hAnsiTheme="minorHAnsi" w:cs="Arial"/>
          <w:sz w:val="26"/>
          <w:szCs w:val="26"/>
        </w:rPr>
      </w:pPr>
    </w:p>
    <w:p w:rsidR="004F6005" w:rsidRDefault="004F6005" w:rsidP="00E76CBF">
      <w:pPr>
        <w:tabs>
          <w:tab w:val="left" w:pos="6960"/>
        </w:tabs>
        <w:ind w:left="-510"/>
        <w:rPr>
          <w:rFonts w:asciiTheme="minorHAnsi" w:hAnsiTheme="minorHAnsi" w:cs="Arial"/>
          <w:sz w:val="26"/>
          <w:szCs w:val="26"/>
        </w:rPr>
      </w:pPr>
    </w:p>
    <w:p w:rsidR="004F6005" w:rsidRDefault="004F6005" w:rsidP="00E76CBF">
      <w:pPr>
        <w:tabs>
          <w:tab w:val="left" w:pos="6960"/>
        </w:tabs>
        <w:ind w:left="-510"/>
        <w:rPr>
          <w:rFonts w:asciiTheme="minorHAnsi" w:hAnsiTheme="minorHAnsi" w:cs="Arial"/>
          <w:sz w:val="26"/>
          <w:szCs w:val="26"/>
        </w:rPr>
      </w:pPr>
    </w:p>
    <w:p w:rsidR="004F6005" w:rsidRDefault="004F6005" w:rsidP="00E76CBF">
      <w:pPr>
        <w:tabs>
          <w:tab w:val="left" w:pos="6960"/>
        </w:tabs>
        <w:ind w:left="-510"/>
        <w:rPr>
          <w:rFonts w:asciiTheme="minorHAnsi" w:hAnsiTheme="minorHAnsi" w:cs="Arial"/>
          <w:sz w:val="26"/>
          <w:szCs w:val="26"/>
        </w:rPr>
      </w:pPr>
    </w:p>
    <w:p w:rsidR="004F6005" w:rsidRDefault="004F6005" w:rsidP="00E76CBF">
      <w:pPr>
        <w:tabs>
          <w:tab w:val="left" w:pos="6960"/>
        </w:tabs>
        <w:ind w:left="-510"/>
        <w:rPr>
          <w:rFonts w:asciiTheme="minorHAnsi" w:hAnsiTheme="minorHAnsi" w:cs="Arial"/>
          <w:sz w:val="26"/>
          <w:szCs w:val="26"/>
        </w:rPr>
      </w:pPr>
    </w:p>
    <w:p w:rsidR="004F6005" w:rsidRDefault="004F6005" w:rsidP="00E76CBF">
      <w:pPr>
        <w:tabs>
          <w:tab w:val="left" w:pos="6960"/>
        </w:tabs>
        <w:ind w:left="-510"/>
        <w:rPr>
          <w:rFonts w:asciiTheme="minorHAnsi" w:hAnsiTheme="minorHAnsi" w:cs="Arial"/>
          <w:sz w:val="26"/>
          <w:szCs w:val="26"/>
        </w:rPr>
      </w:pPr>
    </w:p>
    <w:p w:rsidR="004F6005" w:rsidRDefault="004F6005" w:rsidP="00E76CBF">
      <w:pPr>
        <w:tabs>
          <w:tab w:val="left" w:pos="6960"/>
        </w:tabs>
        <w:ind w:left="-510"/>
        <w:rPr>
          <w:rFonts w:asciiTheme="minorHAnsi" w:hAnsiTheme="minorHAnsi" w:cs="Arial"/>
          <w:sz w:val="26"/>
          <w:szCs w:val="26"/>
        </w:rPr>
      </w:pPr>
    </w:p>
    <w:p w:rsidR="004F6005" w:rsidRDefault="004F6005" w:rsidP="00E76CBF">
      <w:pPr>
        <w:tabs>
          <w:tab w:val="left" w:pos="6960"/>
        </w:tabs>
        <w:ind w:left="-510"/>
        <w:rPr>
          <w:rFonts w:asciiTheme="minorHAnsi" w:hAnsiTheme="minorHAnsi" w:cs="Arial"/>
          <w:sz w:val="26"/>
          <w:szCs w:val="26"/>
        </w:rPr>
      </w:pPr>
    </w:p>
    <w:p w:rsidR="009870BB" w:rsidRDefault="009870BB" w:rsidP="009870BB">
      <w:pPr>
        <w:spacing w:line="276" w:lineRule="auto"/>
        <w:ind w:left="-426"/>
        <w:jc w:val="both"/>
        <w:rPr>
          <w:rFonts w:ascii="Calibri" w:hAnsi="Calibri" w:cs="Arial"/>
          <w:bCs/>
          <w:sz w:val="22"/>
          <w:szCs w:val="22"/>
        </w:rPr>
      </w:pPr>
    </w:p>
    <w:p w:rsidR="009870BB" w:rsidRPr="004F6005" w:rsidRDefault="009870BB" w:rsidP="009870BB">
      <w:pPr>
        <w:numPr>
          <w:ilvl w:val="0"/>
          <w:numId w:val="24"/>
        </w:numPr>
        <w:spacing w:line="276" w:lineRule="auto"/>
        <w:ind w:left="-426" w:firstLine="0"/>
        <w:jc w:val="both"/>
        <w:rPr>
          <w:rFonts w:ascii="Calibri" w:hAnsi="Calibri" w:cs="Arial"/>
          <w:bCs/>
          <w:sz w:val="22"/>
          <w:szCs w:val="22"/>
        </w:rPr>
      </w:pPr>
      <w:r w:rsidRPr="004F6005">
        <w:rPr>
          <w:rFonts w:ascii="Calibri" w:hAnsi="Calibri" w:cs="Arial"/>
          <w:bCs/>
          <w:sz w:val="22"/>
          <w:szCs w:val="22"/>
        </w:rPr>
        <w:t xml:space="preserve">Akcja kredytowa banku wzrosła o 14,4% r/r, co pozwoliło na wzrost przychodów odsetkowych pomimo obniżek stóp procentowych. </w:t>
      </w:r>
      <w:r w:rsidRPr="004F6005">
        <w:rPr>
          <w:rFonts w:ascii="Calibri" w:hAnsi="Calibri" w:cs="Arial"/>
          <w:b/>
          <w:bCs/>
          <w:sz w:val="22"/>
          <w:szCs w:val="22"/>
        </w:rPr>
        <w:t>Marża odsetkowa netto banku spadła do 3,41%</w:t>
      </w:r>
      <w:r w:rsidRPr="004F6005">
        <w:rPr>
          <w:rFonts w:ascii="Calibri" w:hAnsi="Calibri" w:cs="Arial"/>
          <w:bCs/>
          <w:sz w:val="22"/>
          <w:szCs w:val="22"/>
        </w:rPr>
        <w:t xml:space="preserve"> i wynik odsetkowy obniżył się o 17%;</w:t>
      </w:r>
    </w:p>
    <w:p w:rsidR="009870BB" w:rsidRPr="004F6005" w:rsidRDefault="009870BB" w:rsidP="009870BB">
      <w:pPr>
        <w:numPr>
          <w:ilvl w:val="0"/>
          <w:numId w:val="24"/>
        </w:numPr>
        <w:spacing w:line="276" w:lineRule="auto"/>
        <w:ind w:left="-426" w:firstLine="0"/>
        <w:jc w:val="both"/>
        <w:rPr>
          <w:rFonts w:ascii="Calibri" w:hAnsi="Calibri" w:cs="Arial"/>
          <w:bCs/>
          <w:sz w:val="22"/>
          <w:szCs w:val="22"/>
        </w:rPr>
      </w:pPr>
      <w:r w:rsidRPr="004F6005">
        <w:rPr>
          <w:rFonts w:ascii="Calibri" w:hAnsi="Calibri" w:cs="Arial"/>
          <w:bCs/>
          <w:sz w:val="22"/>
          <w:szCs w:val="22"/>
        </w:rPr>
        <w:t xml:space="preserve">Mimo lepszego wyniku prowizyjnego i wyższych pozostałych dochodów wynik na działalności bankowej był niższy niż przed rokiem, co w warunkach umiarkowanego wzrostu kosztów działania doprowadziło do </w:t>
      </w:r>
      <w:r w:rsidRPr="004F6005">
        <w:rPr>
          <w:rFonts w:ascii="Calibri" w:hAnsi="Calibri" w:cs="Arial"/>
          <w:b/>
          <w:bCs/>
          <w:sz w:val="22"/>
          <w:szCs w:val="22"/>
        </w:rPr>
        <w:t>obniżenia efektywności kosztowej banku</w:t>
      </w:r>
      <w:r w:rsidRPr="004F6005">
        <w:rPr>
          <w:rFonts w:ascii="Calibri" w:hAnsi="Calibri" w:cs="Arial"/>
          <w:bCs/>
          <w:sz w:val="22"/>
          <w:szCs w:val="22"/>
        </w:rPr>
        <w:t xml:space="preserve"> (C/I = 69,0%);</w:t>
      </w:r>
    </w:p>
    <w:p w:rsidR="009870BB" w:rsidRPr="004F6005" w:rsidRDefault="009870BB" w:rsidP="009870BB">
      <w:pPr>
        <w:numPr>
          <w:ilvl w:val="0"/>
          <w:numId w:val="24"/>
        </w:numPr>
        <w:spacing w:line="276" w:lineRule="auto"/>
        <w:ind w:left="-426" w:firstLine="0"/>
        <w:jc w:val="both"/>
        <w:rPr>
          <w:rFonts w:ascii="Calibri" w:hAnsi="Calibri" w:cs="Arial"/>
          <w:bCs/>
          <w:sz w:val="22"/>
          <w:szCs w:val="22"/>
        </w:rPr>
      </w:pPr>
      <w:r w:rsidRPr="004F6005">
        <w:rPr>
          <w:rFonts w:ascii="Calibri" w:hAnsi="Calibri" w:cs="Arial"/>
          <w:bCs/>
          <w:sz w:val="22"/>
          <w:szCs w:val="22"/>
        </w:rPr>
        <w:t xml:space="preserve">Na wyniku brutto zaciążyły także wyższe odpisy na rezerwy, ale </w:t>
      </w:r>
      <w:r w:rsidRPr="004F6005">
        <w:rPr>
          <w:rFonts w:ascii="Calibri" w:hAnsi="Calibri" w:cs="Arial"/>
          <w:b/>
          <w:bCs/>
          <w:sz w:val="22"/>
          <w:szCs w:val="22"/>
        </w:rPr>
        <w:t xml:space="preserve">jakość portfela kredytowego jest bardzo dobra </w:t>
      </w:r>
      <w:r w:rsidRPr="004F6005">
        <w:rPr>
          <w:rFonts w:ascii="Calibri" w:hAnsi="Calibri" w:cs="Arial"/>
          <w:bCs/>
          <w:sz w:val="22"/>
          <w:szCs w:val="22"/>
        </w:rPr>
        <w:t xml:space="preserve">(relacja kredytów zagrożonych do kredytów ogółem wynosi zaledwie 3,88%); </w:t>
      </w:r>
    </w:p>
    <w:p w:rsidR="009870BB" w:rsidRPr="004F6005" w:rsidRDefault="009870BB" w:rsidP="009870BB">
      <w:pPr>
        <w:numPr>
          <w:ilvl w:val="0"/>
          <w:numId w:val="24"/>
        </w:numPr>
        <w:spacing w:line="276" w:lineRule="auto"/>
        <w:ind w:left="-426" w:firstLine="0"/>
        <w:jc w:val="both"/>
        <w:rPr>
          <w:rFonts w:ascii="Calibri" w:hAnsi="Calibri" w:cs="Arial"/>
          <w:bCs/>
          <w:sz w:val="22"/>
          <w:szCs w:val="22"/>
        </w:rPr>
      </w:pPr>
      <w:r w:rsidRPr="004F6005">
        <w:rPr>
          <w:rFonts w:ascii="Calibri" w:hAnsi="Calibri" w:cs="Arial"/>
          <w:bCs/>
          <w:sz w:val="22"/>
          <w:szCs w:val="22"/>
        </w:rPr>
        <w:t>Około 15% portfela kredytowego stanowią kredyty preferencyjne;</w:t>
      </w:r>
    </w:p>
    <w:p w:rsidR="009870BB" w:rsidRPr="004F6005" w:rsidRDefault="009870BB" w:rsidP="009870BB">
      <w:pPr>
        <w:numPr>
          <w:ilvl w:val="0"/>
          <w:numId w:val="24"/>
        </w:numPr>
        <w:spacing w:line="276" w:lineRule="auto"/>
        <w:ind w:left="-426" w:firstLine="0"/>
        <w:jc w:val="both"/>
        <w:rPr>
          <w:rFonts w:asciiTheme="minorHAnsi" w:hAnsiTheme="minorHAnsi" w:cstheme="minorHAnsi"/>
          <w:bCs/>
          <w:sz w:val="22"/>
          <w:szCs w:val="22"/>
        </w:rPr>
      </w:pPr>
      <w:r w:rsidRPr="004F6005">
        <w:rPr>
          <w:rFonts w:asciiTheme="minorHAnsi" w:hAnsiTheme="minorHAnsi" w:cstheme="minorHAnsi"/>
          <w:bCs/>
          <w:sz w:val="22"/>
          <w:szCs w:val="22"/>
        </w:rPr>
        <w:t xml:space="preserve">Fundusze własne banku wzrosły mocniej od planu (za sprawą podwyższenia funduszu udziałowego o 9,5 mln PLN) i wynoszą 122,4 mln PLN. Pozytywnie wpłynęło to na </w:t>
      </w:r>
      <w:r w:rsidRPr="004F6005">
        <w:rPr>
          <w:rFonts w:asciiTheme="minorHAnsi" w:hAnsiTheme="minorHAnsi" w:cstheme="minorHAnsi"/>
          <w:b/>
          <w:bCs/>
          <w:sz w:val="22"/>
          <w:szCs w:val="22"/>
        </w:rPr>
        <w:t>współczynnik wypłacalności banku</w:t>
      </w:r>
      <w:r w:rsidRPr="004F6005">
        <w:rPr>
          <w:rFonts w:asciiTheme="minorHAnsi" w:hAnsiTheme="minorHAnsi" w:cstheme="minorHAnsi"/>
          <w:bCs/>
          <w:sz w:val="22"/>
          <w:szCs w:val="22"/>
        </w:rPr>
        <w:t xml:space="preserve">, który </w:t>
      </w:r>
      <w:r w:rsidRPr="004F6005">
        <w:rPr>
          <w:rFonts w:asciiTheme="minorHAnsi" w:hAnsiTheme="minorHAnsi" w:cstheme="minorHAnsi"/>
          <w:b/>
          <w:bCs/>
          <w:sz w:val="22"/>
          <w:szCs w:val="22"/>
        </w:rPr>
        <w:t xml:space="preserve">wzrósł do 10,86% </w:t>
      </w:r>
      <w:r w:rsidRPr="004F6005">
        <w:rPr>
          <w:rFonts w:asciiTheme="minorHAnsi" w:hAnsiTheme="minorHAnsi" w:cstheme="minorHAnsi"/>
          <w:bCs/>
          <w:sz w:val="22"/>
          <w:szCs w:val="22"/>
        </w:rPr>
        <w:t>(mimo wzrostu skali działalności), ale w dalszym ciągu pozostaje poniżej poziomu rekomendowanego przez KNF.</w:t>
      </w:r>
    </w:p>
    <w:p w:rsidR="004F6005" w:rsidRDefault="004F6005" w:rsidP="00E76CBF">
      <w:pPr>
        <w:tabs>
          <w:tab w:val="left" w:pos="6960"/>
        </w:tabs>
        <w:ind w:left="-510"/>
        <w:rPr>
          <w:rFonts w:asciiTheme="minorHAnsi" w:hAnsiTheme="minorHAnsi" w:cs="Arial"/>
          <w:sz w:val="26"/>
          <w:szCs w:val="26"/>
        </w:rPr>
      </w:pPr>
    </w:p>
    <w:p w:rsidR="00E76CBF" w:rsidRDefault="00E76CBF" w:rsidP="00E76CBF">
      <w:pPr>
        <w:tabs>
          <w:tab w:val="left" w:pos="6960"/>
        </w:tabs>
        <w:ind w:left="-510"/>
        <w:rPr>
          <w:rFonts w:asciiTheme="minorHAnsi" w:hAnsiTheme="minorHAnsi" w:cs="Arial"/>
          <w:sz w:val="26"/>
          <w:szCs w:val="26"/>
        </w:rPr>
      </w:pPr>
    </w:p>
    <w:p w:rsidR="00E76CBF" w:rsidRDefault="00E76CBF" w:rsidP="00E76CBF">
      <w:pPr>
        <w:tabs>
          <w:tab w:val="left" w:pos="6960"/>
        </w:tabs>
        <w:ind w:left="-510"/>
        <w:rPr>
          <w:rFonts w:asciiTheme="minorHAnsi" w:hAnsiTheme="minorHAnsi" w:cs="Arial"/>
          <w:sz w:val="26"/>
          <w:szCs w:val="26"/>
        </w:rPr>
      </w:pPr>
    </w:p>
    <w:p w:rsidR="00E76CBF" w:rsidRDefault="00E76CBF" w:rsidP="00E76CBF">
      <w:pPr>
        <w:tabs>
          <w:tab w:val="left" w:pos="6960"/>
        </w:tabs>
        <w:ind w:left="-510"/>
        <w:rPr>
          <w:rFonts w:asciiTheme="minorHAnsi" w:hAnsiTheme="minorHAnsi" w:cs="Arial"/>
          <w:sz w:val="26"/>
          <w:szCs w:val="26"/>
        </w:rPr>
      </w:pPr>
    </w:p>
    <w:p w:rsidR="00E76CBF" w:rsidRDefault="00E76CBF" w:rsidP="00E76CBF">
      <w:pPr>
        <w:tabs>
          <w:tab w:val="left" w:pos="6960"/>
        </w:tabs>
        <w:ind w:left="-510"/>
        <w:rPr>
          <w:rFonts w:asciiTheme="minorHAnsi" w:hAnsiTheme="minorHAnsi" w:cs="Arial"/>
          <w:sz w:val="26"/>
          <w:szCs w:val="26"/>
        </w:rPr>
      </w:pPr>
    </w:p>
    <w:p w:rsidR="00CF2B28" w:rsidRDefault="00CF2B28">
      <w:pPr>
        <w:rPr>
          <w:rFonts w:asciiTheme="minorHAnsi" w:hAnsiTheme="minorHAnsi" w:cs="Arial"/>
          <w:sz w:val="20"/>
          <w:szCs w:val="20"/>
        </w:rPr>
      </w:pPr>
      <w:r>
        <w:rPr>
          <w:rFonts w:asciiTheme="minorHAnsi" w:hAnsiTheme="minorHAnsi" w:cs="Arial"/>
          <w:sz w:val="20"/>
          <w:szCs w:val="20"/>
        </w:rPr>
        <w:br w:type="page"/>
      </w:r>
    </w:p>
    <w:p w:rsidR="004F6005" w:rsidRPr="00636E50" w:rsidRDefault="004F6005" w:rsidP="00636E50">
      <w:pPr>
        <w:pStyle w:val="Nagwek1"/>
      </w:pPr>
      <w:bookmarkStart w:id="6" w:name="_Toc368572356"/>
      <w:r w:rsidRPr="00636E50">
        <w:lastRenderedPageBreak/>
        <w:t>BANK SPÓŁDZIELCZY BIAŁA RAWSKA</w:t>
      </w:r>
      <w:bookmarkEnd w:id="6"/>
    </w:p>
    <w:p w:rsidR="004F6005" w:rsidRPr="00366A2D" w:rsidRDefault="004F6005" w:rsidP="004F6005">
      <w:pPr>
        <w:tabs>
          <w:tab w:val="left" w:pos="6960"/>
        </w:tabs>
        <w:ind w:left="-510"/>
        <w:rPr>
          <w:rFonts w:asciiTheme="minorHAnsi" w:hAnsiTheme="minorHAnsi" w:cs="Arial"/>
          <w:sz w:val="22"/>
          <w:szCs w:val="22"/>
        </w:rPr>
      </w:pPr>
    </w:p>
    <w:tbl>
      <w:tblPr>
        <w:tblW w:w="3979" w:type="dxa"/>
        <w:tblInd w:w="60" w:type="dxa"/>
        <w:tblCellMar>
          <w:left w:w="70" w:type="dxa"/>
          <w:right w:w="70" w:type="dxa"/>
        </w:tblCellMar>
        <w:tblLook w:val="04A0"/>
      </w:tblPr>
      <w:tblGrid>
        <w:gridCol w:w="2600"/>
        <w:gridCol w:w="546"/>
        <w:gridCol w:w="833"/>
      </w:tblGrid>
      <w:tr w:rsidR="009F57B5" w:rsidTr="009057F0">
        <w:trPr>
          <w:trHeight w:val="252"/>
        </w:trPr>
        <w:tc>
          <w:tcPr>
            <w:tcW w:w="2600" w:type="dxa"/>
            <w:tcBorders>
              <w:top w:val="single" w:sz="8" w:space="0" w:color="FFFFFF"/>
              <w:left w:val="single" w:sz="8" w:space="0" w:color="FFFFFF"/>
              <w:bottom w:val="single" w:sz="8" w:space="0" w:color="1EAA82"/>
              <w:right w:val="nil"/>
            </w:tcBorders>
            <w:shd w:val="clear" w:color="000000" w:fill="FFFFFF"/>
            <w:vAlign w:val="center"/>
            <w:hideMark/>
          </w:tcPr>
          <w:p w:rsidR="009F57B5" w:rsidRDefault="009F57B5" w:rsidP="009057F0">
            <w:pPr>
              <w:rPr>
                <w:rFonts w:ascii="Calibri" w:hAnsi="Calibri" w:cs="Calibri"/>
                <w:b/>
                <w:bCs/>
                <w:color w:val="000000"/>
                <w:sz w:val="18"/>
                <w:szCs w:val="18"/>
              </w:rPr>
            </w:pPr>
            <w:r>
              <w:rPr>
                <w:rFonts w:ascii="Calibri" w:hAnsi="Calibri" w:cs="Calibri"/>
                <w:b/>
                <w:bCs/>
                <w:color w:val="000000"/>
                <w:sz w:val="18"/>
                <w:szCs w:val="18"/>
              </w:rPr>
              <w:t>Podstawowe dane</w:t>
            </w:r>
          </w:p>
        </w:tc>
        <w:tc>
          <w:tcPr>
            <w:tcW w:w="546" w:type="dxa"/>
            <w:tcBorders>
              <w:top w:val="single" w:sz="8" w:space="0" w:color="FFFFFF"/>
              <w:left w:val="nil"/>
              <w:bottom w:val="single" w:sz="8" w:space="0" w:color="1EAA82"/>
              <w:right w:val="single" w:sz="8" w:space="0" w:color="FFFFFF"/>
            </w:tcBorders>
            <w:shd w:val="clear" w:color="000000" w:fill="FFFFFF"/>
            <w:vAlign w:val="center"/>
            <w:hideMark/>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2012 </w:t>
            </w:r>
          </w:p>
        </w:tc>
        <w:tc>
          <w:tcPr>
            <w:tcW w:w="833" w:type="dxa"/>
            <w:tcBorders>
              <w:top w:val="single" w:sz="8" w:space="0" w:color="FFFFFF"/>
              <w:left w:val="nil"/>
              <w:bottom w:val="single" w:sz="8" w:space="0" w:color="1EAA82"/>
              <w:right w:val="single" w:sz="8" w:space="0" w:color="FFFFFF"/>
            </w:tcBorders>
            <w:shd w:val="clear" w:color="000000" w:fill="FFFFFF"/>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1H’13</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Suma bilansowa [mln PLN]</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806</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919</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Kapitały własne [mln PLN]</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57</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60</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 xml:space="preserve">Współczynnik wypłacalności [%]                      </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10,2</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10,3</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C/I [%]</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51,5</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58,3</w:t>
            </w:r>
          </w:p>
        </w:tc>
      </w:tr>
    </w:tbl>
    <w:p w:rsidR="009F57B5" w:rsidRPr="00366A2D" w:rsidRDefault="009F57B5" w:rsidP="004F6005">
      <w:pPr>
        <w:tabs>
          <w:tab w:val="left" w:pos="6960"/>
        </w:tabs>
        <w:ind w:left="-510"/>
        <w:rPr>
          <w:rFonts w:asciiTheme="minorHAnsi" w:hAnsiTheme="minorHAnsi" w:cs="Arial"/>
          <w:sz w:val="22"/>
          <w:szCs w:val="22"/>
        </w:rPr>
      </w:pPr>
    </w:p>
    <w:p w:rsidR="004F6005" w:rsidRPr="004F6005" w:rsidRDefault="004F6005" w:rsidP="004F6005">
      <w:pPr>
        <w:tabs>
          <w:tab w:val="left" w:pos="6960"/>
        </w:tabs>
        <w:spacing w:line="276" w:lineRule="auto"/>
        <w:ind w:left="-510"/>
        <w:jc w:val="both"/>
        <w:rPr>
          <w:rFonts w:ascii="Calibri" w:hAnsi="Calibri" w:cs="Arial"/>
          <w:bCs/>
          <w:sz w:val="22"/>
          <w:szCs w:val="22"/>
        </w:rPr>
      </w:pPr>
      <w:r w:rsidRPr="004F6005">
        <w:rPr>
          <w:rFonts w:ascii="Calibri" w:hAnsi="Calibri" w:cs="Arial"/>
          <w:b/>
          <w:bCs/>
          <w:sz w:val="22"/>
          <w:szCs w:val="22"/>
        </w:rPr>
        <w:t xml:space="preserve">Spadek zysku wskutek wzrostu kosztów działania banku. </w:t>
      </w:r>
      <w:r w:rsidRPr="004F6005">
        <w:rPr>
          <w:rFonts w:ascii="Calibri" w:hAnsi="Calibri" w:cs="Arial"/>
          <w:bCs/>
          <w:sz w:val="22"/>
          <w:szCs w:val="22"/>
        </w:rPr>
        <w:t>Bank Spółdzielczy w Białej Rawskiej w 1H’13 wypracował 18,2 mln PLN zysku na działalności bankowej i 4,0 mln PLN zysku netto.</w:t>
      </w:r>
    </w:p>
    <w:p w:rsidR="004F6005" w:rsidRDefault="004F6005" w:rsidP="004F6005">
      <w:pPr>
        <w:tabs>
          <w:tab w:val="left" w:pos="6960"/>
        </w:tabs>
        <w:ind w:left="-510"/>
        <w:rPr>
          <w:rFonts w:asciiTheme="minorHAnsi" w:hAnsiTheme="minorHAnsi" w:cs="Arial"/>
          <w:sz w:val="26"/>
          <w:szCs w:val="26"/>
        </w:rPr>
      </w:pPr>
    </w:p>
    <w:p w:rsidR="004F6005" w:rsidRDefault="004F6005" w:rsidP="004F6005">
      <w:pPr>
        <w:tabs>
          <w:tab w:val="left" w:pos="6960"/>
        </w:tabs>
        <w:ind w:left="-510"/>
        <w:rPr>
          <w:rFonts w:asciiTheme="minorHAnsi" w:hAnsiTheme="minorHAnsi" w:cs="Arial"/>
          <w:sz w:val="26"/>
          <w:szCs w:val="26"/>
        </w:rPr>
      </w:pPr>
      <w:r>
        <w:rPr>
          <w:noProof/>
          <w:szCs w:val="26"/>
        </w:rPr>
        <w:drawing>
          <wp:anchor distT="0" distB="0" distL="114300" distR="114300" simplePos="0" relativeHeight="251648512" behindDoc="1" locked="0" layoutInCell="1" allowOverlap="1">
            <wp:simplePos x="0" y="0"/>
            <wp:positionH relativeFrom="column">
              <wp:posOffset>-399415</wp:posOffset>
            </wp:positionH>
            <wp:positionV relativeFrom="paragraph">
              <wp:posOffset>0</wp:posOffset>
            </wp:positionV>
            <wp:extent cx="3524250" cy="2095500"/>
            <wp:effectExtent l="19050" t="0" r="0" b="0"/>
            <wp:wrapNone/>
            <wp:docPr id="18"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3524250" cy="2095500"/>
                    </a:xfrm>
                    <a:prstGeom prst="rect">
                      <a:avLst/>
                    </a:prstGeom>
                    <a:noFill/>
                    <a:ln w="9525">
                      <a:noFill/>
                      <a:miter lim="800000"/>
                      <a:headEnd/>
                      <a:tailEnd/>
                    </a:ln>
                  </pic:spPr>
                </pic:pic>
              </a:graphicData>
            </a:graphic>
          </wp:anchor>
        </w:drawing>
      </w:r>
      <w:r>
        <w:rPr>
          <w:noProof/>
          <w:szCs w:val="26"/>
        </w:rPr>
        <w:drawing>
          <wp:anchor distT="0" distB="0" distL="114300" distR="114300" simplePos="0" relativeHeight="251647488" behindDoc="1" locked="0" layoutInCell="1" allowOverlap="1">
            <wp:simplePos x="0" y="0"/>
            <wp:positionH relativeFrom="column">
              <wp:posOffset>3124835</wp:posOffset>
            </wp:positionH>
            <wp:positionV relativeFrom="paragraph">
              <wp:posOffset>0</wp:posOffset>
            </wp:positionV>
            <wp:extent cx="3457575" cy="2133600"/>
            <wp:effectExtent l="19050" t="0" r="9525" b="0"/>
            <wp:wrapNone/>
            <wp:docPr id="19"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3457575" cy="2133600"/>
                    </a:xfrm>
                    <a:prstGeom prst="rect">
                      <a:avLst/>
                    </a:prstGeom>
                    <a:noFill/>
                    <a:ln w="9525">
                      <a:noFill/>
                      <a:miter lim="800000"/>
                      <a:headEnd/>
                      <a:tailEnd/>
                    </a:ln>
                  </pic:spPr>
                </pic:pic>
              </a:graphicData>
            </a:graphic>
          </wp:anchor>
        </w:drawing>
      </w:r>
    </w:p>
    <w:p w:rsidR="004F6005" w:rsidRDefault="004F6005" w:rsidP="004F6005">
      <w:pPr>
        <w:tabs>
          <w:tab w:val="left" w:pos="6960"/>
        </w:tabs>
        <w:ind w:left="-510"/>
        <w:rPr>
          <w:rFonts w:asciiTheme="minorHAnsi" w:hAnsiTheme="minorHAnsi" w:cs="Arial"/>
          <w:sz w:val="26"/>
          <w:szCs w:val="26"/>
        </w:rPr>
      </w:pPr>
    </w:p>
    <w:p w:rsidR="004F6005" w:rsidRDefault="004F6005" w:rsidP="004F6005">
      <w:pPr>
        <w:tabs>
          <w:tab w:val="left" w:pos="6960"/>
        </w:tabs>
        <w:ind w:left="-510"/>
        <w:rPr>
          <w:rFonts w:asciiTheme="minorHAnsi" w:hAnsiTheme="minorHAnsi" w:cs="Arial"/>
          <w:sz w:val="26"/>
          <w:szCs w:val="26"/>
        </w:rPr>
      </w:pPr>
    </w:p>
    <w:p w:rsidR="004F6005" w:rsidRDefault="004F6005" w:rsidP="004F6005">
      <w:pPr>
        <w:tabs>
          <w:tab w:val="left" w:pos="6960"/>
        </w:tabs>
        <w:ind w:left="-510"/>
        <w:rPr>
          <w:rFonts w:asciiTheme="minorHAnsi" w:hAnsiTheme="minorHAnsi" w:cs="Arial"/>
          <w:sz w:val="26"/>
          <w:szCs w:val="26"/>
        </w:rPr>
      </w:pPr>
    </w:p>
    <w:p w:rsidR="004F6005" w:rsidRDefault="004F6005" w:rsidP="004F6005">
      <w:pPr>
        <w:tabs>
          <w:tab w:val="left" w:pos="6960"/>
        </w:tabs>
        <w:ind w:left="-510"/>
        <w:rPr>
          <w:rFonts w:asciiTheme="minorHAnsi" w:hAnsiTheme="minorHAnsi" w:cs="Arial"/>
          <w:sz w:val="26"/>
          <w:szCs w:val="26"/>
        </w:rPr>
      </w:pPr>
    </w:p>
    <w:p w:rsidR="004F6005" w:rsidRDefault="004F6005" w:rsidP="004F6005">
      <w:pPr>
        <w:tabs>
          <w:tab w:val="left" w:pos="6960"/>
        </w:tabs>
        <w:ind w:left="-510"/>
        <w:rPr>
          <w:rFonts w:asciiTheme="minorHAnsi" w:hAnsiTheme="minorHAnsi" w:cs="Arial"/>
          <w:sz w:val="26"/>
          <w:szCs w:val="26"/>
        </w:rPr>
      </w:pPr>
    </w:p>
    <w:p w:rsidR="004F6005" w:rsidRDefault="004F6005" w:rsidP="004F6005">
      <w:pPr>
        <w:tabs>
          <w:tab w:val="left" w:pos="6960"/>
        </w:tabs>
        <w:ind w:left="-510"/>
        <w:rPr>
          <w:rFonts w:asciiTheme="minorHAnsi" w:hAnsiTheme="minorHAnsi" w:cs="Arial"/>
          <w:sz w:val="26"/>
          <w:szCs w:val="26"/>
        </w:rPr>
      </w:pPr>
    </w:p>
    <w:p w:rsidR="004F6005" w:rsidRDefault="004F6005" w:rsidP="004F6005">
      <w:pPr>
        <w:tabs>
          <w:tab w:val="left" w:pos="6960"/>
        </w:tabs>
        <w:ind w:left="-510"/>
        <w:rPr>
          <w:rFonts w:asciiTheme="minorHAnsi" w:hAnsiTheme="minorHAnsi" w:cs="Arial"/>
          <w:sz w:val="26"/>
          <w:szCs w:val="26"/>
        </w:rPr>
      </w:pPr>
    </w:p>
    <w:p w:rsidR="004F6005" w:rsidRDefault="004F6005" w:rsidP="004F6005">
      <w:pPr>
        <w:tabs>
          <w:tab w:val="left" w:pos="6960"/>
        </w:tabs>
        <w:ind w:left="-510"/>
        <w:rPr>
          <w:rFonts w:asciiTheme="minorHAnsi" w:hAnsiTheme="minorHAnsi" w:cs="Arial"/>
          <w:sz w:val="26"/>
          <w:szCs w:val="26"/>
        </w:rPr>
      </w:pPr>
    </w:p>
    <w:p w:rsidR="004F6005" w:rsidRDefault="004F6005" w:rsidP="004F6005">
      <w:pPr>
        <w:tabs>
          <w:tab w:val="left" w:pos="6960"/>
        </w:tabs>
        <w:ind w:left="-510"/>
        <w:rPr>
          <w:rFonts w:asciiTheme="minorHAnsi" w:hAnsiTheme="minorHAnsi" w:cs="Arial"/>
          <w:sz w:val="26"/>
          <w:szCs w:val="26"/>
        </w:rPr>
      </w:pPr>
    </w:p>
    <w:p w:rsidR="004F6005" w:rsidRDefault="004F6005" w:rsidP="004F6005">
      <w:pPr>
        <w:tabs>
          <w:tab w:val="left" w:pos="6960"/>
        </w:tabs>
        <w:ind w:left="-510"/>
        <w:rPr>
          <w:rFonts w:asciiTheme="minorHAnsi" w:hAnsiTheme="minorHAnsi" w:cs="Arial"/>
          <w:sz w:val="26"/>
          <w:szCs w:val="26"/>
        </w:rPr>
      </w:pPr>
    </w:p>
    <w:p w:rsidR="009870BB" w:rsidRPr="004F6005" w:rsidRDefault="009870BB" w:rsidP="009870BB">
      <w:pPr>
        <w:numPr>
          <w:ilvl w:val="0"/>
          <w:numId w:val="25"/>
        </w:numPr>
        <w:spacing w:line="276" w:lineRule="auto"/>
        <w:ind w:left="-426" w:firstLine="0"/>
        <w:jc w:val="both"/>
        <w:rPr>
          <w:rFonts w:ascii="Calibri" w:hAnsi="Calibri" w:cs="Arial"/>
          <w:bCs/>
          <w:sz w:val="22"/>
          <w:szCs w:val="22"/>
        </w:rPr>
      </w:pPr>
      <w:r w:rsidRPr="004F6005">
        <w:rPr>
          <w:rFonts w:ascii="Calibri" w:hAnsi="Calibri" w:cs="Arial"/>
          <w:bCs/>
          <w:sz w:val="22"/>
          <w:szCs w:val="22"/>
        </w:rPr>
        <w:t xml:space="preserve">Bank Spółdzielczy w Białej Rawskiej </w:t>
      </w:r>
      <w:r w:rsidRPr="004F6005">
        <w:rPr>
          <w:rFonts w:ascii="Calibri" w:hAnsi="Calibri" w:cs="Arial"/>
          <w:b/>
          <w:bCs/>
          <w:sz w:val="22"/>
          <w:szCs w:val="22"/>
        </w:rPr>
        <w:t>dynamicznie się rozwija</w:t>
      </w:r>
      <w:r w:rsidRPr="004F6005">
        <w:rPr>
          <w:rFonts w:ascii="Calibri" w:hAnsi="Calibri" w:cs="Arial"/>
          <w:bCs/>
          <w:sz w:val="22"/>
          <w:szCs w:val="22"/>
        </w:rPr>
        <w:t xml:space="preserve">. W ciągu roku jego portfel kredytowy wzrósł o 37%. Właśnie za sprawą wzrostu akcji kredytowej bankowi udało się wypracować </w:t>
      </w:r>
      <w:r w:rsidRPr="004F6005">
        <w:rPr>
          <w:rFonts w:ascii="Calibri" w:hAnsi="Calibri" w:cs="Arial"/>
          <w:b/>
          <w:bCs/>
          <w:sz w:val="22"/>
          <w:szCs w:val="22"/>
        </w:rPr>
        <w:t>wyższe przychody odsetkowe</w:t>
      </w:r>
      <w:r w:rsidRPr="004F6005">
        <w:rPr>
          <w:rFonts w:ascii="Calibri" w:hAnsi="Calibri" w:cs="Arial"/>
          <w:bCs/>
          <w:sz w:val="22"/>
          <w:szCs w:val="22"/>
        </w:rPr>
        <w:t xml:space="preserve">, w warunkach obniżek stóp procentowych. </w:t>
      </w:r>
      <w:r w:rsidRPr="004F6005">
        <w:rPr>
          <w:rFonts w:ascii="Calibri" w:hAnsi="Calibri" w:cs="Arial"/>
          <w:b/>
          <w:bCs/>
          <w:sz w:val="22"/>
          <w:szCs w:val="22"/>
        </w:rPr>
        <w:t>Wynik odsetkowy lekko obniżył się</w:t>
      </w:r>
      <w:r w:rsidRPr="004F6005">
        <w:rPr>
          <w:rFonts w:ascii="Calibri" w:hAnsi="Calibri" w:cs="Arial"/>
          <w:bCs/>
          <w:sz w:val="22"/>
          <w:szCs w:val="22"/>
        </w:rPr>
        <w:t>, gdyż jednocześnie wzrosły koszty odsetek. Jednak sama skala spadku wyniku jest mała (1,4% r/r). Marża odsetkowa netto banku znalazła się jednak pod presją i obniżyła się o 0,4 p.p. do 4,3%.</w:t>
      </w:r>
    </w:p>
    <w:p w:rsidR="009870BB" w:rsidRPr="004F6005" w:rsidRDefault="009870BB" w:rsidP="009870BB">
      <w:pPr>
        <w:numPr>
          <w:ilvl w:val="0"/>
          <w:numId w:val="25"/>
        </w:numPr>
        <w:spacing w:line="276" w:lineRule="auto"/>
        <w:ind w:left="-426" w:firstLine="0"/>
        <w:jc w:val="both"/>
        <w:rPr>
          <w:rFonts w:ascii="Calibri" w:hAnsi="Calibri" w:cs="Arial"/>
          <w:bCs/>
          <w:sz w:val="22"/>
          <w:szCs w:val="22"/>
        </w:rPr>
      </w:pPr>
      <w:r w:rsidRPr="004F6005">
        <w:rPr>
          <w:rFonts w:ascii="Calibri" w:hAnsi="Calibri" w:cs="Arial"/>
          <w:bCs/>
          <w:sz w:val="22"/>
          <w:szCs w:val="22"/>
        </w:rPr>
        <w:t xml:space="preserve">Wynik na działalności bankowej był nieznacznie niższy niż przed rokiem. Jednak w warunkach wzrostu kosztów działania </w:t>
      </w:r>
      <w:r w:rsidRPr="004F6005">
        <w:rPr>
          <w:rFonts w:ascii="Calibri" w:hAnsi="Calibri" w:cs="Arial"/>
          <w:b/>
          <w:bCs/>
          <w:sz w:val="22"/>
          <w:szCs w:val="22"/>
        </w:rPr>
        <w:t>efektywność kosztowa uległa obniżeniu (58,3%), ale pozostaje wysoka na tle sektora</w:t>
      </w:r>
      <w:r w:rsidRPr="004F6005">
        <w:rPr>
          <w:rFonts w:ascii="Calibri" w:hAnsi="Calibri" w:cs="Arial"/>
          <w:bCs/>
          <w:sz w:val="22"/>
          <w:szCs w:val="22"/>
        </w:rPr>
        <w:t>;</w:t>
      </w:r>
    </w:p>
    <w:p w:rsidR="009870BB" w:rsidRDefault="009870BB" w:rsidP="009870BB">
      <w:pPr>
        <w:numPr>
          <w:ilvl w:val="0"/>
          <w:numId w:val="25"/>
        </w:numPr>
        <w:spacing w:line="276" w:lineRule="auto"/>
        <w:ind w:left="-426" w:firstLine="0"/>
        <w:jc w:val="both"/>
        <w:rPr>
          <w:rFonts w:ascii="Calibri" w:hAnsi="Calibri" w:cs="Arial"/>
          <w:bCs/>
          <w:sz w:val="22"/>
          <w:szCs w:val="22"/>
        </w:rPr>
      </w:pPr>
      <w:r w:rsidRPr="004F6005">
        <w:rPr>
          <w:rFonts w:ascii="Calibri" w:hAnsi="Calibri" w:cs="Arial"/>
          <w:b/>
          <w:bCs/>
          <w:sz w:val="22"/>
          <w:szCs w:val="22"/>
        </w:rPr>
        <w:t>Jakość portfela kredytowego pozostaje wysoka</w:t>
      </w:r>
      <w:r w:rsidRPr="004F6005">
        <w:rPr>
          <w:rFonts w:ascii="Calibri" w:hAnsi="Calibri" w:cs="Arial"/>
          <w:bCs/>
          <w:sz w:val="22"/>
          <w:szCs w:val="22"/>
        </w:rPr>
        <w:t>, a relacja kredytów zagrożonych do kredytów ogółem wynosi 3,01% (spadek r/r o 0,4 p.p.)</w:t>
      </w:r>
      <w:r>
        <w:rPr>
          <w:rFonts w:ascii="Calibri" w:hAnsi="Calibri" w:cs="Arial"/>
          <w:bCs/>
          <w:sz w:val="22"/>
          <w:szCs w:val="22"/>
        </w:rPr>
        <w:t>;</w:t>
      </w:r>
    </w:p>
    <w:p w:rsidR="009870BB" w:rsidRPr="004F6005" w:rsidRDefault="009870BB" w:rsidP="009870BB">
      <w:pPr>
        <w:numPr>
          <w:ilvl w:val="0"/>
          <w:numId w:val="25"/>
        </w:numPr>
        <w:spacing w:line="276" w:lineRule="auto"/>
        <w:ind w:left="-426" w:firstLine="0"/>
        <w:jc w:val="both"/>
        <w:rPr>
          <w:rFonts w:ascii="Calibri" w:hAnsi="Calibri" w:cs="Arial"/>
          <w:bCs/>
          <w:sz w:val="22"/>
          <w:szCs w:val="22"/>
        </w:rPr>
      </w:pPr>
      <w:r w:rsidRPr="004F6005">
        <w:rPr>
          <w:rFonts w:ascii="Calibri" w:hAnsi="Calibri" w:cs="Calibri"/>
          <w:bCs/>
          <w:sz w:val="22"/>
          <w:szCs w:val="22"/>
        </w:rPr>
        <w:t>Chociaż fundusze własne banku wzrosły o blisko 15% to jeszcze dynamiczniej zwiększył się całkowity wymóg kapitałowy i współczynnik wypłacalności banku w ciągu roku obniżył się o 1,06 p.p do 10,26%.</w:t>
      </w:r>
    </w:p>
    <w:p w:rsidR="009870BB" w:rsidRDefault="009870BB" w:rsidP="004F6005">
      <w:pPr>
        <w:tabs>
          <w:tab w:val="left" w:pos="6960"/>
        </w:tabs>
        <w:ind w:left="-510"/>
        <w:rPr>
          <w:rFonts w:asciiTheme="minorHAnsi" w:hAnsiTheme="minorHAnsi" w:cs="Arial"/>
          <w:sz w:val="26"/>
          <w:szCs w:val="26"/>
        </w:rPr>
      </w:pPr>
    </w:p>
    <w:p w:rsidR="004F6005" w:rsidRDefault="004F6005" w:rsidP="004F6005">
      <w:pPr>
        <w:tabs>
          <w:tab w:val="left" w:pos="6960"/>
        </w:tabs>
        <w:ind w:left="-510"/>
        <w:rPr>
          <w:rFonts w:asciiTheme="minorHAnsi" w:hAnsiTheme="minorHAnsi" w:cs="Arial"/>
          <w:sz w:val="26"/>
          <w:szCs w:val="26"/>
        </w:rPr>
      </w:pPr>
    </w:p>
    <w:p w:rsidR="00CF2B28" w:rsidRDefault="00CF2B28">
      <w:pPr>
        <w:rPr>
          <w:rFonts w:asciiTheme="minorHAnsi" w:hAnsiTheme="minorHAnsi" w:cs="Arial"/>
          <w:sz w:val="20"/>
          <w:szCs w:val="20"/>
        </w:rPr>
      </w:pPr>
      <w:r>
        <w:rPr>
          <w:rFonts w:asciiTheme="minorHAnsi" w:hAnsiTheme="minorHAnsi" w:cs="Arial"/>
          <w:sz w:val="20"/>
          <w:szCs w:val="20"/>
        </w:rPr>
        <w:br w:type="page"/>
      </w:r>
    </w:p>
    <w:p w:rsidR="004F6005" w:rsidRPr="00636E50" w:rsidRDefault="004F6005" w:rsidP="00636E50">
      <w:pPr>
        <w:pStyle w:val="Nagwek1"/>
      </w:pPr>
      <w:bookmarkStart w:id="7" w:name="_Toc368572357"/>
      <w:r w:rsidRPr="00636E50">
        <w:lastRenderedPageBreak/>
        <w:t>BANK SPÓŁDZIELCZY W OSTROWI MAZOWIECKIEJ</w:t>
      </w:r>
      <w:bookmarkEnd w:id="7"/>
    </w:p>
    <w:p w:rsidR="004F6005" w:rsidRPr="00366A2D" w:rsidRDefault="004F6005" w:rsidP="004F6005">
      <w:pPr>
        <w:tabs>
          <w:tab w:val="left" w:pos="6960"/>
        </w:tabs>
        <w:ind w:left="-510"/>
        <w:rPr>
          <w:rFonts w:asciiTheme="minorHAnsi" w:hAnsiTheme="minorHAnsi" w:cs="Arial"/>
          <w:sz w:val="22"/>
          <w:szCs w:val="22"/>
        </w:rPr>
      </w:pPr>
    </w:p>
    <w:tbl>
      <w:tblPr>
        <w:tblW w:w="3979" w:type="dxa"/>
        <w:tblInd w:w="60" w:type="dxa"/>
        <w:tblCellMar>
          <w:left w:w="70" w:type="dxa"/>
          <w:right w:w="70" w:type="dxa"/>
        </w:tblCellMar>
        <w:tblLook w:val="04A0"/>
      </w:tblPr>
      <w:tblGrid>
        <w:gridCol w:w="2600"/>
        <w:gridCol w:w="546"/>
        <w:gridCol w:w="833"/>
      </w:tblGrid>
      <w:tr w:rsidR="009F57B5" w:rsidTr="009057F0">
        <w:trPr>
          <w:trHeight w:val="252"/>
        </w:trPr>
        <w:tc>
          <w:tcPr>
            <w:tcW w:w="2600" w:type="dxa"/>
            <w:tcBorders>
              <w:top w:val="single" w:sz="8" w:space="0" w:color="FFFFFF"/>
              <w:left w:val="single" w:sz="8" w:space="0" w:color="FFFFFF"/>
              <w:bottom w:val="single" w:sz="8" w:space="0" w:color="1EAA82"/>
              <w:right w:val="nil"/>
            </w:tcBorders>
            <w:shd w:val="clear" w:color="000000" w:fill="FFFFFF"/>
            <w:vAlign w:val="center"/>
            <w:hideMark/>
          </w:tcPr>
          <w:p w:rsidR="009F57B5" w:rsidRDefault="009F57B5" w:rsidP="009057F0">
            <w:pPr>
              <w:rPr>
                <w:rFonts w:ascii="Calibri" w:hAnsi="Calibri" w:cs="Calibri"/>
                <w:b/>
                <w:bCs/>
                <w:color w:val="000000"/>
                <w:sz w:val="18"/>
                <w:szCs w:val="18"/>
              </w:rPr>
            </w:pPr>
            <w:r>
              <w:rPr>
                <w:rFonts w:ascii="Calibri" w:hAnsi="Calibri" w:cs="Calibri"/>
                <w:b/>
                <w:bCs/>
                <w:color w:val="000000"/>
                <w:sz w:val="18"/>
                <w:szCs w:val="18"/>
              </w:rPr>
              <w:t>Podstawowe dane</w:t>
            </w:r>
          </w:p>
        </w:tc>
        <w:tc>
          <w:tcPr>
            <w:tcW w:w="546" w:type="dxa"/>
            <w:tcBorders>
              <w:top w:val="single" w:sz="8" w:space="0" w:color="FFFFFF"/>
              <w:left w:val="nil"/>
              <w:bottom w:val="single" w:sz="8" w:space="0" w:color="1EAA82"/>
              <w:right w:val="single" w:sz="8" w:space="0" w:color="FFFFFF"/>
            </w:tcBorders>
            <w:shd w:val="clear" w:color="000000" w:fill="FFFFFF"/>
            <w:vAlign w:val="center"/>
            <w:hideMark/>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2012 </w:t>
            </w:r>
          </w:p>
        </w:tc>
        <w:tc>
          <w:tcPr>
            <w:tcW w:w="833" w:type="dxa"/>
            <w:tcBorders>
              <w:top w:val="single" w:sz="8" w:space="0" w:color="FFFFFF"/>
              <w:left w:val="nil"/>
              <w:bottom w:val="single" w:sz="8" w:space="0" w:color="1EAA82"/>
              <w:right w:val="single" w:sz="8" w:space="0" w:color="FFFFFF"/>
            </w:tcBorders>
            <w:shd w:val="clear" w:color="000000" w:fill="FFFFFF"/>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1H’13</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Suma bilansowa [mln PLN]</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610</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659</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Kapitały własne [mln PLN]</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74</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78</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 xml:space="preserve">Współczynnik wypłacalności [%]                      </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13,5</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13,9</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C/I [%]</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45,2</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52,5</w:t>
            </w:r>
          </w:p>
        </w:tc>
      </w:tr>
    </w:tbl>
    <w:p w:rsidR="009F57B5" w:rsidRPr="00366A2D" w:rsidRDefault="009F57B5" w:rsidP="004F6005">
      <w:pPr>
        <w:tabs>
          <w:tab w:val="left" w:pos="6960"/>
        </w:tabs>
        <w:ind w:left="-510"/>
        <w:rPr>
          <w:rFonts w:asciiTheme="minorHAnsi" w:hAnsiTheme="minorHAnsi" w:cs="Arial"/>
          <w:sz w:val="22"/>
          <w:szCs w:val="22"/>
        </w:rPr>
      </w:pPr>
    </w:p>
    <w:p w:rsidR="004F6005" w:rsidRPr="00C44409" w:rsidRDefault="004F6005" w:rsidP="00C44409">
      <w:pPr>
        <w:tabs>
          <w:tab w:val="left" w:pos="6960"/>
        </w:tabs>
        <w:spacing w:line="276" w:lineRule="auto"/>
        <w:ind w:left="-510"/>
        <w:jc w:val="both"/>
        <w:rPr>
          <w:rFonts w:ascii="Calibri" w:hAnsi="Calibri" w:cs="Arial"/>
          <w:bCs/>
          <w:sz w:val="22"/>
          <w:szCs w:val="22"/>
        </w:rPr>
      </w:pPr>
      <w:r w:rsidRPr="00C44409">
        <w:rPr>
          <w:rFonts w:ascii="Calibri" w:hAnsi="Calibri" w:cs="Arial"/>
          <w:b/>
          <w:bCs/>
          <w:sz w:val="22"/>
          <w:szCs w:val="22"/>
        </w:rPr>
        <w:t xml:space="preserve">Słabszy wynik odsetkowy zneutralizowany przez niższe koszty ryzyka. </w:t>
      </w:r>
      <w:r w:rsidRPr="00C44409">
        <w:rPr>
          <w:rFonts w:ascii="Calibri" w:hAnsi="Calibri" w:cs="Arial"/>
          <w:bCs/>
          <w:sz w:val="22"/>
          <w:szCs w:val="22"/>
        </w:rPr>
        <w:t>Bank Spółdzielczy w Ostrowi Mazowieckiej w 1H’13 wypracował 13,2 mln PLN zysku na działalności bankowej i 4,5 mln PLN zysku netto.</w:t>
      </w:r>
    </w:p>
    <w:p w:rsidR="004F6005" w:rsidRDefault="004F6005" w:rsidP="004F6005">
      <w:pPr>
        <w:tabs>
          <w:tab w:val="left" w:pos="6960"/>
        </w:tabs>
        <w:ind w:left="-510"/>
        <w:rPr>
          <w:rFonts w:asciiTheme="minorHAnsi" w:hAnsiTheme="minorHAnsi" w:cs="Arial"/>
          <w:sz w:val="26"/>
          <w:szCs w:val="26"/>
        </w:rPr>
      </w:pPr>
    </w:p>
    <w:p w:rsidR="004F6005" w:rsidRDefault="004F6005" w:rsidP="004F6005">
      <w:pPr>
        <w:tabs>
          <w:tab w:val="left" w:pos="6960"/>
        </w:tabs>
        <w:ind w:left="-510"/>
        <w:rPr>
          <w:rFonts w:asciiTheme="minorHAnsi" w:hAnsiTheme="minorHAnsi" w:cs="Arial"/>
          <w:sz w:val="26"/>
          <w:szCs w:val="26"/>
        </w:rPr>
      </w:pPr>
      <w:r>
        <w:rPr>
          <w:noProof/>
          <w:szCs w:val="26"/>
        </w:rPr>
        <w:drawing>
          <wp:anchor distT="0" distB="0" distL="114300" distR="114300" simplePos="0" relativeHeight="251650560" behindDoc="1" locked="0" layoutInCell="1" allowOverlap="1">
            <wp:simplePos x="0" y="0"/>
            <wp:positionH relativeFrom="column">
              <wp:posOffset>-399415</wp:posOffset>
            </wp:positionH>
            <wp:positionV relativeFrom="paragraph">
              <wp:posOffset>0</wp:posOffset>
            </wp:positionV>
            <wp:extent cx="3524250" cy="2095500"/>
            <wp:effectExtent l="19050" t="0" r="0" b="0"/>
            <wp:wrapNone/>
            <wp:docPr id="20"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a:off x="0" y="0"/>
                      <a:ext cx="3524250" cy="2095500"/>
                    </a:xfrm>
                    <a:prstGeom prst="rect">
                      <a:avLst/>
                    </a:prstGeom>
                    <a:noFill/>
                    <a:ln w="9525">
                      <a:noFill/>
                      <a:miter lim="800000"/>
                      <a:headEnd/>
                      <a:tailEnd/>
                    </a:ln>
                  </pic:spPr>
                </pic:pic>
              </a:graphicData>
            </a:graphic>
          </wp:anchor>
        </w:drawing>
      </w:r>
      <w:r>
        <w:rPr>
          <w:noProof/>
          <w:szCs w:val="26"/>
        </w:rPr>
        <w:drawing>
          <wp:anchor distT="0" distB="0" distL="114300" distR="114300" simplePos="0" relativeHeight="251649536" behindDoc="1" locked="0" layoutInCell="1" allowOverlap="1">
            <wp:simplePos x="0" y="0"/>
            <wp:positionH relativeFrom="column">
              <wp:posOffset>3124835</wp:posOffset>
            </wp:positionH>
            <wp:positionV relativeFrom="paragraph">
              <wp:posOffset>0</wp:posOffset>
            </wp:positionV>
            <wp:extent cx="3457575" cy="2133600"/>
            <wp:effectExtent l="19050" t="0" r="9525" b="0"/>
            <wp:wrapNone/>
            <wp:docPr id="2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3457575" cy="2133600"/>
                    </a:xfrm>
                    <a:prstGeom prst="rect">
                      <a:avLst/>
                    </a:prstGeom>
                    <a:noFill/>
                    <a:ln w="9525">
                      <a:noFill/>
                      <a:miter lim="800000"/>
                      <a:headEnd/>
                      <a:tailEnd/>
                    </a:ln>
                  </pic:spPr>
                </pic:pic>
              </a:graphicData>
            </a:graphic>
          </wp:anchor>
        </w:drawing>
      </w:r>
    </w:p>
    <w:p w:rsidR="004F6005" w:rsidRDefault="004F6005" w:rsidP="004F6005">
      <w:pPr>
        <w:tabs>
          <w:tab w:val="left" w:pos="6960"/>
        </w:tabs>
        <w:ind w:left="-510"/>
        <w:rPr>
          <w:rFonts w:asciiTheme="minorHAnsi" w:hAnsiTheme="minorHAnsi" w:cs="Arial"/>
          <w:sz w:val="26"/>
          <w:szCs w:val="26"/>
        </w:rPr>
      </w:pPr>
    </w:p>
    <w:p w:rsidR="00C44409" w:rsidRDefault="00C44409" w:rsidP="004F6005">
      <w:pPr>
        <w:tabs>
          <w:tab w:val="left" w:pos="6960"/>
        </w:tabs>
        <w:ind w:left="-510"/>
        <w:rPr>
          <w:rFonts w:asciiTheme="minorHAnsi" w:hAnsiTheme="minorHAnsi" w:cs="Arial"/>
          <w:sz w:val="26"/>
          <w:szCs w:val="26"/>
        </w:rPr>
      </w:pPr>
    </w:p>
    <w:p w:rsidR="00C44409" w:rsidRDefault="00C44409" w:rsidP="004F6005">
      <w:pPr>
        <w:tabs>
          <w:tab w:val="left" w:pos="6960"/>
        </w:tabs>
        <w:ind w:left="-510"/>
        <w:rPr>
          <w:rFonts w:asciiTheme="minorHAnsi" w:hAnsiTheme="minorHAnsi" w:cs="Arial"/>
          <w:sz w:val="26"/>
          <w:szCs w:val="26"/>
        </w:rPr>
      </w:pPr>
    </w:p>
    <w:p w:rsidR="00C44409" w:rsidRDefault="00C44409" w:rsidP="004F6005">
      <w:pPr>
        <w:tabs>
          <w:tab w:val="left" w:pos="6960"/>
        </w:tabs>
        <w:ind w:left="-510"/>
        <w:rPr>
          <w:rFonts w:asciiTheme="minorHAnsi" w:hAnsiTheme="minorHAnsi" w:cs="Arial"/>
          <w:sz w:val="26"/>
          <w:szCs w:val="26"/>
        </w:rPr>
      </w:pPr>
    </w:p>
    <w:p w:rsidR="00C44409" w:rsidRDefault="00C44409" w:rsidP="004F6005">
      <w:pPr>
        <w:tabs>
          <w:tab w:val="left" w:pos="6960"/>
        </w:tabs>
        <w:ind w:left="-510"/>
        <w:rPr>
          <w:rFonts w:asciiTheme="minorHAnsi" w:hAnsiTheme="minorHAnsi" w:cs="Arial"/>
          <w:sz w:val="26"/>
          <w:szCs w:val="26"/>
        </w:rPr>
      </w:pPr>
    </w:p>
    <w:p w:rsidR="00C44409" w:rsidRDefault="00C44409" w:rsidP="004F6005">
      <w:pPr>
        <w:tabs>
          <w:tab w:val="left" w:pos="6960"/>
        </w:tabs>
        <w:ind w:left="-510"/>
        <w:rPr>
          <w:rFonts w:asciiTheme="minorHAnsi" w:hAnsiTheme="minorHAnsi" w:cs="Arial"/>
          <w:sz w:val="26"/>
          <w:szCs w:val="26"/>
        </w:rPr>
      </w:pPr>
    </w:p>
    <w:p w:rsidR="00C44409" w:rsidRDefault="00C44409" w:rsidP="004F6005">
      <w:pPr>
        <w:tabs>
          <w:tab w:val="left" w:pos="6960"/>
        </w:tabs>
        <w:ind w:left="-510"/>
        <w:rPr>
          <w:rFonts w:asciiTheme="minorHAnsi" w:hAnsiTheme="minorHAnsi" w:cs="Arial"/>
          <w:sz w:val="26"/>
          <w:szCs w:val="26"/>
        </w:rPr>
      </w:pPr>
    </w:p>
    <w:p w:rsidR="00C44409" w:rsidRDefault="00C44409" w:rsidP="004F6005">
      <w:pPr>
        <w:tabs>
          <w:tab w:val="left" w:pos="6960"/>
        </w:tabs>
        <w:ind w:left="-510"/>
        <w:rPr>
          <w:rFonts w:asciiTheme="minorHAnsi" w:hAnsiTheme="minorHAnsi" w:cs="Arial"/>
          <w:sz w:val="26"/>
          <w:szCs w:val="26"/>
        </w:rPr>
      </w:pPr>
    </w:p>
    <w:p w:rsidR="009870BB" w:rsidRDefault="009870BB" w:rsidP="004F6005">
      <w:pPr>
        <w:tabs>
          <w:tab w:val="left" w:pos="6960"/>
        </w:tabs>
        <w:ind w:left="-510"/>
        <w:rPr>
          <w:rFonts w:asciiTheme="minorHAnsi" w:hAnsiTheme="minorHAnsi" w:cs="Arial"/>
          <w:sz w:val="26"/>
          <w:szCs w:val="26"/>
        </w:rPr>
      </w:pPr>
    </w:p>
    <w:p w:rsidR="009870BB" w:rsidRDefault="009870BB" w:rsidP="004F6005">
      <w:pPr>
        <w:tabs>
          <w:tab w:val="left" w:pos="6960"/>
        </w:tabs>
        <w:ind w:left="-510"/>
        <w:rPr>
          <w:rFonts w:asciiTheme="minorHAnsi" w:hAnsiTheme="minorHAnsi" w:cs="Arial"/>
          <w:sz w:val="26"/>
          <w:szCs w:val="26"/>
        </w:rPr>
      </w:pPr>
    </w:p>
    <w:p w:rsidR="009870BB" w:rsidRPr="00C44409" w:rsidRDefault="009870BB" w:rsidP="009870BB">
      <w:pPr>
        <w:numPr>
          <w:ilvl w:val="0"/>
          <w:numId w:val="26"/>
        </w:numPr>
        <w:spacing w:line="276" w:lineRule="auto"/>
        <w:ind w:left="-567" w:firstLine="0"/>
        <w:jc w:val="both"/>
        <w:rPr>
          <w:rFonts w:ascii="Calibri" w:hAnsi="Calibri" w:cs="Arial"/>
          <w:bCs/>
          <w:sz w:val="22"/>
          <w:szCs w:val="22"/>
        </w:rPr>
      </w:pPr>
      <w:r w:rsidRPr="00C44409">
        <w:rPr>
          <w:rFonts w:ascii="Calibri" w:hAnsi="Calibri" w:cs="Arial"/>
          <w:bCs/>
          <w:sz w:val="22"/>
          <w:szCs w:val="22"/>
        </w:rPr>
        <w:t xml:space="preserve">Pomimo wzrostu przychodów odsetkowych od sektora niefinansowego (efekt zwiększenia akcji kredytowej w tej kategorii o 12,6%) </w:t>
      </w:r>
      <w:r w:rsidRPr="00C44409">
        <w:rPr>
          <w:rFonts w:ascii="Calibri" w:hAnsi="Calibri" w:cs="Arial"/>
          <w:b/>
          <w:bCs/>
          <w:sz w:val="22"/>
          <w:szCs w:val="22"/>
        </w:rPr>
        <w:t>wynik odsetkowy obniżył</w:t>
      </w:r>
      <w:r w:rsidRPr="00C44409">
        <w:rPr>
          <w:rFonts w:ascii="Calibri" w:hAnsi="Calibri" w:cs="Arial"/>
          <w:bCs/>
          <w:sz w:val="22"/>
          <w:szCs w:val="22"/>
        </w:rPr>
        <w:t xml:space="preserve"> się o 1,5 mln PLN (tj. 12,6% r/r) do 10,6 mln PLN </w:t>
      </w:r>
      <w:r w:rsidRPr="00C44409">
        <w:rPr>
          <w:rFonts w:ascii="Calibri" w:hAnsi="Calibri" w:cs="Arial"/>
          <w:b/>
          <w:bCs/>
          <w:sz w:val="22"/>
          <w:szCs w:val="22"/>
        </w:rPr>
        <w:t>w efekcie spadku stóp procentowych</w:t>
      </w:r>
      <w:r w:rsidRPr="00C44409">
        <w:rPr>
          <w:rFonts w:ascii="Calibri" w:hAnsi="Calibri" w:cs="Arial"/>
          <w:bCs/>
          <w:sz w:val="22"/>
          <w:szCs w:val="22"/>
        </w:rPr>
        <w:t>. Marża odsetkowa netto banku obniżyła się o 0,43 p.p. do 3,89%;</w:t>
      </w:r>
    </w:p>
    <w:p w:rsidR="009870BB" w:rsidRPr="00C44409" w:rsidRDefault="009870BB" w:rsidP="009870BB">
      <w:pPr>
        <w:numPr>
          <w:ilvl w:val="0"/>
          <w:numId w:val="26"/>
        </w:numPr>
        <w:spacing w:line="276" w:lineRule="auto"/>
        <w:ind w:left="-567" w:firstLine="0"/>
        <w:jc w:val="both"/>
        <w:rPr>
          <w:rFonts w:ascii="Calibri" w:hAnsi="Calibri" w:cs="Arial"/>
          <w:bCs/>
          <w:sz w:val="22"/>
          <w:szCs w:val="22"/>
        </w:rPr>
      </w:pPr>
      <w:r w:rsidRPr="00C44409">
        <w:rPr>
          <w:rFonts w:ascii="Calibri" w:hAnsi="Calibri" w:cs="Arial"/>
          <w:bCs/>
          <w:sz w:val="22"/>
          <w:szCs w:val="22"/>
        </w:rPr>
        <w:t xml:space="preserve">Zysk z działalności bankowej obniżył się również o 1,5 mln PLN, co było skutkiem słabszego wyniku z tytułu odsetek. W warunkach jednoczesnego pogorszenia wyniku na działalności bankowej i wzrostu kosztów działania, </w:t>
      </w:r>
      <w:r w:rsidRPr="00C44409">
        <w:rPr>
          <w:rFonts w:ascii="Calibri" w:hAnsi="Calibri" w:cs="Arial"/>
          <w:b/>
          <w:bCs/>
          <w:sz w:val="22"/>
          <w:szCs w:val="22"/>
        </w:rPr>
        <w:t>efektywność kosztowa obniżyła się</w:t>
      </w:r>
      <w:r w:rsidRPr="00C44409">
        <w:rPr>
          <w:rFonts w:ascii="Calibri" w:hAnsi="Calibri" w:cs="Arial"/>
          <w:bCs/>
          <w:sz w:val="22"/>
          <w:szCs w:val="22"/>
        </w:rPr>
        <w:t>, a relacja kosztów do dochodów wyniosła 52,5% (C/I pozytywnie wyróżniające się na tle sektora bankowości spółdzielczej);</w:t>
      </w:r>
    </w:p>
    <w:p w:rsidR="009870BB" w:rsidRPr="00C44409" w:rsidRDefault="009870BB" w:rsidP="009870BB">
      <w:pPr>
        <w:numPr>
          <w:ilvl w:val="0"/>
          <w:numId w:val="26"/>
        </w:numPr>
        <w:spacing w:line="276" w:lineRule="auto"/>
        <w:ind w:left="-567" w:firstLine="0"/>
        <w:jc w:val="both"/>
        <w:rPr>
          <w:rFonts w:ascii="Calibri" w:hAnsi="Calibri" w:cs="Arial"/>
          <w:bCs/>
          <w:sz w:val="22"/>
          <w:szCs w:val="22"/>
        </w:rPr>
      </w:pPr>
      <w:r w:rsidRPr="00C44409">
        <w:rPr>
          <w:rFonts w:ascii="Calibri" w:hAnsi="Calibri" w:cs="Arial"/>
          <w:bCs/>
          <w:sz w:val="22"/>
          <w:szCs w:val="22"/>
        </w:rPr>
        <w:t xml:space="preserve">Za sprawą niższych niż przed rokiem odpisów saldo rezerw znacząco obniżyło się nie obciążając w tak dużym stopniu wyniku brutto. Jednocześnie </w:t>
      </w:r>
      <w:r w:rsidRPr="00C44409">
        <w:rPr>
          <w:rFonts w:ascii="Calibri" w:hAnsi="Calibri" w:cs="Arial"/>
          <w:b/>
          <w:bCs/>
          <w:sz w:val="22"/>
          <w:szCs w:val="22"/>
        </w:rPr>
        <w:t>niższe koszty ryzyka zneutralizowały negatywny wpływy zmiany wyniku odsetkowego</w:t>
      </w:r>
      <w:r w:rsidRPr="00C44409">
        <w:rPr>
          <w:rFonts w:ascii="Calibri" w:hAnsi="Calibri" w:cs="Arial"/>
          <w:bCs/>
          <w:sz w:val="22"/>
          <w:szCs w:val="22"/>
        </w:rPr>
        <w:t xml:space="preserve"> (patrz wykres);</w:t>
      </w:r>
    </w:p>
    <w:p w:rsidR="009870BB" w:rsidRPr="00C44409" w:rsidRDefault="009870BB" w:rsidP="009870BB">
      <w:pPr>
        <w:numPr>
          <w:ilvl w:val="0"/>
          <w:numId w:val="26"/>
        </w:numPr>
        <w:spacing w:line="276" w:lineRule="auto"/>
        <w:ind w:left="-567" w:firstLine="0"/>
        <w:jc w:val="both"/>
        <w:rPr>
          <w:rFonts w:ascii="Calibri" w:hAnsi="Calibri" w:cs="Arial"/>
          <w:bCs/>
          <w:sz w:val="22"/>
          <w:szCs w:val="22"/>
        </w:rPr>
      </w:pPr>
      <w:r w:rsidRPr="00C44409">
        <w:rPr>
          <w:rFonts w:ascii="Calibri" w:hAnsi="Calibri" w:cs="Arial"/>
          <w:b/>
          <w:bCs/>
          <w:sz w:val="22"/>
          <w:szCs w:val="22"/>
        </w:rPr>
        <w:t>Jakość portfela kredytowego jest wysoka</w:t>
      </w:r>
      <w:r w:rsidRPr="00C44409">
        <w:rPr>
          <w:rFonts w:ascii="Calibri" w:hAnsi="Calibri" w:cs="Arial"/>
          <w:bCs/>
          <w:sz w:val="22"/>
          <w:szCs w:val="22"/>
        </w:rPr>
        <w:t xml:space="preserve">, co widać w niskiej relacji kredytów zagrożonych do kredytów ogółem 3,43%. Ponadto </w:t>
      </w:r>
      <w:r w:rsidRPr="00C44409">
        <w:rPr>
          <w:rFonts w:ascii="Calibri" w:hAnsi="Calibri" w:cs="Arial"/>
          <w:b/>
          <w:bCs/>
          <w:sz w:val="22"/>
          <w:szCs w:val="22"/>
        </w:rPr>
        <w:t>wskaźnik pokrycia rezerwami</w:t>
      </w:r>
      <w:r w:rsidRPr="00C44409">
        <w:rPr>
          <w:rFonts w:ascii="Calibri" w:hAnsi="Calibri" w:cs="Arial"/>
          <w:bCs/>
          <w:sz w:val="22"/>
          <w:szCs w:val="22"/>
        </w:rPr>
        <w:t xml:space="preserve"> (rezerwa celowa do kredytów z utratą wartości) jest wysoki i </w:t>
      </w:r>
      <w:r w:rsidRPr="00C44409">
        <w:rPr>
          <w:rFonts w:ascii="Calibri" w:hAnsi="Calibri" w:cs="Arial"/>
          <w:b/>
          <w:bCs/>
          <w:sz w:val="22"/>
          <w:szCs w:val="22"/>
        </w:rPr>
        <w:t>sięga 63,4%;</w:t>
      </w:r>
    </w:p>
    <w:p w:rsidR="009870BB" w:rsidRPr="00C44409" w:rsidRDefault="009870BB" w:rsidP="009870BB">
      <w:pPr>
        <w:numPr>
          <w:ilvl w:val="0"/>
          <w:numId w:val="26"/>
        </w:numPr>
        <w:spacing w:line="276" w:lineRule="auto"/>
        <w:ind w:left="-567" w:firstLine="0"/>
        <w:jc w:val="both"/>
        <w:rPr>
          <w:rFonts w:ascii="Calibri" w:hAnsi="Calibri" w:cs="Arial"/>
          <w:bCs/>
          <w:sz w:val="22"/>
          <w:szCs w:val="22"/>
        </w:rPr>
      </w:pPr>
      <w:r w:rsidRPr="00C44409">
        <w:rPr>
          <w:rFonts w:ascii="Calibri" w:hAnsi="Calibri" w:cs="Arial"/>
          <w:b/>
          <w:bCs/>
          <w:sz w:val="22"/>
          <w:szCs w:val="22"/>
        </w:rPr>
        <w:t>Bank raportuje współczynnik wypłacalności na poziomie 14,01%, ale uwzględniając ryzyko stóp procentowych wskaźnik wynosi 13,88%</w:t>
      </w:r>
      <w:r w:rsidRPr="00C44409">
        <w:rPr>
          <w:rFonts w:ascii="Calibri" w:hAnsi="Calibri" w:cs="Arial"/>
          <w:bCs/>
          <w:sz w:val="22"/>
          <w:szCs w:val="22"/>
        </w:rPr>
        <w:t>. Wzrost wartości współczynnika jest efektem wzrostu funduszy własnych banku o ok. 9,9 mln PLN w ciągu roku. Współczynnik byłby jeszcze wyższy gdyby niedokonane pomniejszenia funduszu podstawowego i uzupełniającego ze względu na zaangażowanie kapitałowe banku w instytucje finansowe przekraczające 10% funduszy własnych. W efekcie fundusze własne banku zostały obniżone o ok. 8 mln PLN. Szacujemy, że gdyby nie ten czynnik współczynnik wypłacalności banku wynosiłby ok. 15,22%;</w:t>
      </w:r>
    </w:p>
    <w:p w:rsidR="009870BB" w:rsidRPr="00C44409" w:rsidRDefault="009870BB" w:rsidP="009870BB">
      <w:pPr>
        <w:numPr>
          <w:ilvl w:val="0"/>
          <w:numId w:val="26"/>
        </w:numPr>
        <w:spacing w:line="276" w:lineRule="auto"/>
        <w:ind w:left="-567" w:firstLine="0"/>
        <w:jc w:val="both"/>
        <w:rPr>
          <w:rFonts w:ascii="Calibri" w:hAnsi="Calibri" w:cs="Arial"/>
          <w:bCs/>
          <w:sz w:val="22"/>
          <w:szCs w:val="22"/>
        </w:rPr>
      </w:pPr>
      <w:r w:rsidRPr="00C44409">
        <w:rPr>
          <w:rFonts w:ascii="Calibri" w:hAnsi="Calibri" w:cs="Arial"/>
          <w:b/>
          <w:bCs/>
          <w:sz w:val="22"/>
          <w:szCs w:val="22"/>
        </w:rPr>
        <w:t>Wszystkie nadzorcze normy płynności zostały spełnione</w:t>
      </w:r>
      <w:r w:rsidRPr="00C44409">
        <w:rPr>
          <w:rFonts w:ascii="Calibri" w:hAnsi="Calibri" w:cs="Arial"/>
          <w:bCs/>
          <w:sz w:val="22"/>
          <w:szCs w:val="22"/>
        </w:rPr>
        <w:t>:</w:t>
      </w:r>
    </w:p>
    <w:p w:rsidR="009870BB" w:rsidRPr="00C44409" w:rsidRDefault="009870BB" w:rsidP="009870BB">
      <w:pPr>
        <w:spacing w:line="276" w:lineRule="auto"/>
        <w:ind w:left="-567"/>
        <w:jc w:val="both"/>
        <w:rPr>
          <w:rFonts w:ascii="Calibri" w:hAnsi="Calibri" w:cs="Arial"/>
          <w:bCs/>
          <w:sz w:val="22"/>
          <w:szCs w:val="22"/>
        </w:rPr>
      </w:pPr>
      <w:r w:rsidRPr="00C44409">
        <w:rPr>
          <w:rFonts w:ascii="Calibri" w:hAnsi="Calibri" w:cs="Arial"/>
          <w:bCs/>
          <w:sz w:val="22"/>
          <w:szCs w:val="22"/>
        </w:rPr>
        <w:t>- współczynnik pokrycia aktywów niepłynnych i aktywów o ograniczonej płynności funduszami własnymi i środkami obcymi stabilnymi wyniósł 1,07x;</w:t>
      </w:r>
    </w:p>
    <w:p w:rsidR="009870BB" w:rsidRPr="00C44409" w:rsidRDefault="009870BB" w:rsidP="009870BB">
      <w:pPr>
        <w:spacing w:line="276" w:lineRule="auto"/>
        <w:ind w:left="-567"/>
        <w:jc w:val="both"/>
        <w:rPr>
          <w:rFonts w:ascii="Calibri" w:hAnsi="Calibri" w:cs="Arial"/>
          <w:bCs/>
          <w:sz w:val="22"/>
          <w:szCs w:val="22"/>
        </w:rPr>
      </w:pPr>
      <w:r w:rsidRPr="00C44409">
        <w:rPr>
          <w:rFonts w:ascii="Calibri" w:hAnsi="Calibri" w:cs="Arial"/>
          <w:bCs/>
          <w:sz w:val="22"/>
          <w:szCs w:val="22"/>
        </w:rPr>
        <w:t>- współczynnik płynności krótkoterminowej 1,12x;</w:t>
      </w:r>
    </w:p>
    <w:p w:rsidR="00C44409" w:rsidRPr="009870BB" w:rsidRDefault="009870BB" w:rsidP="009870BB">
      <w:pPr>
        <w:spacing w:line="276" w:lineRule="auto"/>
        <w:ind w:left="-567"/>
        <w:jc w:val="both"/>
        <w:rPr>
          <w:rFonts w:ascii="Calibri" w:hAnsi="Calibri" w:cs="Arial"/>
          <w:bCs/>
          <w:sz w:val="22"/>
          <w:szCs w:val="22"/>
        </w:rPr>
      </w:pPr>
      <w:r w:rsidRPr="00C44409">
        <w:rPr>
          <w:rFonts w:ascii="Calibri" w:hAnsi="Calibri" w:cs="Arial"/>
          <w:bCs/>
          <w:sz w:val="22"/>
          <w:szCs w:val="22"/>
        </w:rPr>
        <w:t>- współczynnik pokrycia aktywów niepły</w:t>
      </w:r>
      <w:r>
        <w:rPr>
          <w:rFonts w:ascii="Calibri" w:hAnsi="Calibri" w:cs="Arial"/>
          <w:bCs/>
          <w:sz w:val="22"/>
          <w:szCs w:val="22"/>
        </w:rPr>
        <w:t>nnych funduszami własnymi 4,88x.</w:t>
      </w:r>
    </w:p>
    <w:p w:rsidR="00C44409" w:rsidRPr="00636E50" w:rsidRDefault="00C44409" w:rsidP="00636E50">
      <w:pPr>
        <w:pStyle w:val="Nagwek1"/>
      </w:pPr>
      <w:bookmarkStart w:id="8" w:name="_Toc368572358"/>
      <w:r w:rsidRPr="00636E50">
        <w:lastRenderedPageBreak/>
        <w:t xml:space="preserve">BANK SPÓŁDZIELCZY </w:t>
      </w:r>
      <w:r w:rsidR="00636E50" w:rsidRPr="00636E50">
        <w:t>W PIASECZNIE</w:t>
      </w:r>
      <w:bookmarkEnd w:id="8"/>
    </w:p>
    <w:p w:rsidR="00C44409" w:rsidRPr="00366A2D" w:rsidRDefault="00C44409" w:rsidP="00C44409">
      <w:pPr>
        <w:tabs>
          <w:tab w:val="left" w:pos="6960"/>
        </w:tabs>
        <w:ind w:left="-510"/>
        <w:rPr>
          <w:rFonts w:asciiTheme="minorHAnsi" w:hAnsiTheme="minorHAnsi" w:cs="Arial"/>
          <w:sz w:val="22"/>
          <w:szCs w:val="22"/>
        </w:rPr>
      </w:pPr>
    </w:p>
    <w:tbl>
      <w:tblPr>
        <w:tblW w:w="3979" w:type="dxa"/>
        <w:tblInd w:w="60" w:type="dxa"/>
        <w:tblCellMar>
          <w:left w:w="70" w:type="dxa"/>
          <w:right w:w="70" w:type="dxa"/>
        </w:tblCellMar>
        <w:tblLook w:val="04A0"/>
      </w:tblPr>
      <w:tblGrid>
        <w:gridCol w:w="2600"/>
        <w:gridCol w:w="546"/>
        <w:gridCol w:w="833"/>
      </w:tblGrid>
      <w:tr w:rsidR="009F57B5" w:rsidTr="009057F0">
        <w:trPr>
          <w:trHeight w:val="252"/>
        </w:trPr>
        <w:tc>
          <w:tcPr>
            <w:tcW w:w="2600" w:type="dxa"/>
            <w:tcBorders>
              <w:top w:val="single" w:sz="8" w:space="0" w:color="FFFFFF"/>
              <w:left w:val="single" w:sz="8" w:space="0" w:color="FFFFFF"/>
              <w:bottom w:val="single" w:sz="8" w:space="0" w:color="1EAA82"/>
              <w:right w:val="nil"/>
            </w:tcBorders>
            <w:shd w:val="clear" w:color="000000" w:fill="FFFFFF"/>
            <w:vAlign w:val="center"/>
            <w:hideMark/>
          </w:tcPr>
          <w:p w:rsidR="009F57B5" w:rsidRDefault="009F57B5" w:rsidP="009057F0">
            <w:pPr>
              <w:rPr>
                <w:rFonts w:ascii="Calibri" w:hAnsi="Calibri" w:cs="Calibri"/>
                <w:b/>
                <w:bCs/>
                <w:color w:val="000000"/>
                <w:sz w:val="18"/>
                <w:szCs w:val="18"/>
              </w:rPr>
            </w:pPr>
            <w:r>
              <w:rPr>
                <w:rFonts w:ascii="Calibri" w:hAnsi="Calibri" w:cs="Calibri"/>
                <w:b/>
                <w:bCs/>
                <w:color w:val="000000"/>
                <w:sz w:val="18"/>
                <w:szCs w:val="18"/>
              </w:rPr>
              <w:t>Podstawowe dane</w:t>
            </w:r>
          </w:p>
        </w:tc>
        <w:tc>
          <w:tcPr>
            <w:tcW w:w="546" w:type="dxa"/>
            <w:tcBorders>
              <w:top w:val="single" w:sz="8" w:space="0" w:color="FFFFFF"/>
              <w:left w:val="nil"/>
              <w:bottom w:val="single" w:sz="8" w:space="0" w:color="1EAA82"/>
              <w:right w:val="single" w:sz="8" w:space="0" w:color="FFFFFF"/>
            </w:tcBorders>
            <w:shd w:val="clear" w:color="000000" w:fill="FFFFFF"/>
            <w:vAlign w:val="center"/>
            <w:hideMark/>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2012 </w:t>
            </w:r>
          </w:p>
        </w:tc>
        <w:tc>
          <w:tcPr>
            <w:tcW w:w="833" w:type="dxa"/>
            <w:tcBorders>
              <w:top w:val="single" w:sz="8" w:space="0" w:color="FFFFFF"/>
              <w:left w:val="nil"/>
              <w:bottom w:val="single" w:sz="8" w:space="0" w:color="1EAA82"/>
              <w:right w:val="single" w:sz="8" w:space="0" w:color="FFFFFF"/>
            </w:tcBorders>
            <w:shd w:val="clear" w:color="000000" w:fill="FFFFFF"/>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1H’13</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Suma bilansowa [mln PLN]</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470</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522</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Kapitały własne [mln PLN]</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38</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36</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 xml:space="preserve">Współczynnik wypłacalności [%]                      </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10,1</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10,7</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C/I [%]</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65,4</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66,5</w:t>
            </w:r>
          </w:p>
        </w:tc>
      </w:tr>
    </w:tbl>
    <w:p w:rsidR="009F57B5" w:rsidRPr="00366A2D" w:rsidRDefault="009F57B5" w:rsidP="00C44409">
      <w:pPr>
        <w:tabs>
          <w:tab w:val="left" w:pos="6960"/>
        </w:tabs>
        <w:ind w:left="-510"/>
        <w:rPr>
          <w:rFonts w:asciiTheme="minorHAnsi" w:hAnsiTheme="minorHAnsi" w:cs="Arial"/>
          <w:sz w:val="22"/>
          <w:szCs w:val="22"/>
        </w:rPr>
      </w:pPr>
    </w:p>
    <w:p w:rsidR="00C44409" w:rsidRPr="00C44409" w:rsidRDefault="00C44409" w:rsidP="00C44409">
      <w:pPr>
        <w:tabs>
          <w:tab w:val="left" w:pos="6960"/>
        </w:tabs>
        <w:spacing w:line="276" w:lineRule="auto"/>
        <w:ind w:left="-510"/>
        <w:rPr>
          <w:rFonts w:ascii="Calibri" w:hAnsi="Calibri" w:cs="Arial"/>
          <w:bCs/>
          <w:sz w:val="22"/>
          <w:szCs w:val="22"/>
        </w:rPr>
      </w:pPr>
      <w:r w:rsidRPr="00C44409">
        <w:rPr>
          <w:rFonts w:ascii="Calibri" w:hAnsi="Calibri" w:cs="Arial"/>
          <w:b/>
          <w:bCs/>
          <w:sz w:val="22"/>
          <w:szCs w:val="22"/>
        </w:rPr>
        <w:t xml:space="preserve">Wzrost wyniku odsetkowego i niższe koszty ryzyka wspierają wynik banku. </w:t>
      </w:r>
      <w:r w:rsidRPr="00C44409">
        <w:rPr>
          <w:rFonts w:ascii="Calibri" w:hAnsi="Calibri" w:cs="Arial"/>
          <w:bCs/>
          <w:sz w:val="22"/>
          <w:szCs w:val="22"/>
        </w:rPr>
        <w:t>Bank Spółdzielczy w Piasecznie wypracował 12,1 mln PLN zysku na działalności bankowej i 2,1 mln PLN zysku netto.</w:t>
      </w: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r>
        <w:rPr>
          <w:noProof/>
          <w:szCs w:val="26"/>
        </w:rPr>
        <w:drawing>
          <wp:anchor distT="0" distB="0" distL="114300" distR="114300" simplePos="0" relativeHeight="251651584" behindDoc="1" locked="0" layoutInCell="1" allowOverlap="1">
            <wp:simplePos x="0" y="0"/>
            <wp:positionH relativeFrom="column">
              <wp:posOffset>3124835</wp:posOffset>
            </wp:positionH>
            <wp:positionV relativeFrom="paragraph">
              <wp:posOffset>0</wp:posOffset>
            </wp:positionV>
            <wp:extent cx="3457575" cy="2124075"/>
            <wp:effectExtent l="19050" t="0" r="9525" b="0"/>
            <wp:wrapNone/>
            <wp:docPr id="23"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srcRect/>
                    <a:stretch>
                      <a:fillRect/>
                    </a:stretch>
                  </pic:blipFill>
                  <pic:spPr bwMode="auto">
                    <a:xfrm>
                      <a:off x="0" y="0"/>
                      <a:ext cx="3457575" cy="2124075"/>
                    </a:xfrm>
                    <a:prstGeom prst="rect">
                      <a:avLst/>
                    </a:prstGeom>
                    <a:noFill/>
                    <a:ln w="9525">
                      <a:noFill/>
                      <a:miter lim="800000"/>
                      <a:headEnd/>
                      <a:tailEnd/>
                    </a:ln>
                  </pic:spPr>
                </pic:pic>
              </a:graphicData>
            </a:graphic>
          </wp:anchor>
        </w:drawing>
      </w:r>
      <w:r>
        <w:rPr>
          <w:noProof/>
          <w:szCs w:val="26"/>
        </w:rPr>
        <w:drawing>
          <wp:anchor distT="0" distB="0" distL="114300" distR="114300" simplePos="0" relativeHeight="251652608" behindDoc="1" locked="0" layoutInCell="1" allowOverlap="1">
            <wp:simplePos x="0" y="0"/>
            <wp:positionH relativeFrom="column">
              <wp:posOffset>-399415</wp:posOffset>
            </wp:positionH>
            <wp:positionV relativeFrom="paragraph">
              <wp:posOffset>0</wp:posOffset>
            </wp:positionV>
            <wp:extent cx="3524250" cy="2095500"/>
            <wp:effectExtent l="19050" t="0" r="0" b="0"/>
            <wp:wrapNone/>
            <wp:docPr id="22"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srcRect/>
                    <a:stretch>
                      <a:fillRect/>
                    </a:stretch>
                  </pic:blipFill>
                  <pic:spPr bwMode="auto">
                    <a:xfrm>
                      <a:off x="0" y="0"/>
                      <a:ext cx="3524250" cy="2095500"/>
                    </a:xfrm>
                    <a:prstGeom prst="rect">
                      <a:avLst/>
                    </a:prstGeom>
                    <a:noFill/>
                    <a:ln w="9525">
                      <a:noFill/>
                      <a:miter lim="800000"/>
                      <a:headEnd/>
                      <a:tailEnd/>
                    </a:ln>
                  </pic:spPr>
                </pic:pic>
              </a:graphicData>
            </a:graphic>
          </wp:anchor>
        </w:drawing>
      </w: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9870BB" w:rsidRPr="00C44409" w:rsidRDefault="009870BB" w:rsidP="009870BB">
      <w:pPr>
        <w:numPr>
          <w:ilvl w:val="0"/>
          <w:numId w:val="27"/>
        </w:numPr>
        <w:spacing w:line="276" w:lineRule="auto"/>
        <w:ind w:left="-567" w:firstLine="0"/>
        <w:jc w:val="both"/>
        <w:rPr>
          <w:rFonts w:ascii="Calibri" w:hAnsi="Calibri" w:cs="Arial"/>
          <w:bCs/>
          <w:sz w:val="22"/>
          <w:szCs w:val="22"/>
        </w:rPr>
      </w:pPr>
      <w:r w:rsidRPr="00C44409">
        <w:rPr>
          <w:rFonts w:ascii="Calibri" w:hAnsi="Calibri" w:cs="Arial"/>
          <w:bCs/>
          <w:sz w:val="22"/>
          <w:szCs w:val="22"/>
        </w:rPr>
        <w:t xml:space="preserve">W ciągu roku </w:t>
      </w:r>
      <w:r w:rsidRPr="00C44409">
        <w:rPr>
          <w:rFonts w:ascii="Calibri" w:hAnsi="Calibri" w:cs="Arial"/>
          <w:b/>
          <w:bCs/>
          <w:sz w:val="22"/>
          <w:szCs w:val="22"/>
        </w:rPr>
        <w:t>portfel kredytowy banku wzrósł o 15% co korzystnie wpłynęło na wynik odsetkowy</w:t>
      </w:r>
      <w:r w:rsidRPr="00C44409">
        <w:rPr>
          <w:rFonts w:ascii="Calibri" w:hAnsi="Calibri" w:cs="Arial"/>
          <w:bCs/>
          <w:sz w:val="22"/>
          <w:szCs w:val="22"/>
        </w:rPr>
        <w:t xml:space="preserve">, który mimo negatywnych tendencji w zakresie stóp procentowych wzrósł o 0,38 mln PLN. </w:t>
      </w:r>
      <w:r w:rsidRPr="00C44409">
        <w:rPr>
          <w:rFonts w:ascii="Calibri" w:hAnsi="Calibri" w:cs="Arial"/>
          <w:b/>
          <w:bCs/>
          <w:sz w:val="22"/>
          <w:szCs w:val="22"/>
        </w:rPr>
        <w:t>Marża odsetkowa netto banku wyniosła 4,41%;</w:t>
      </w:r>
    </w:p>
    <w:p w:rsidR="009870BB" w:rsidRPr="00C44409" w:rsidRDefault="009870BB" w:rsidP="009870BB">
      <w:pPr>
        <w:numPr>
          <w:ilvl w:val="0"/>
          <w:numId w:val="27"/>
        </w:numPr>
        <w:spacing w:line="276" w:lineRule="auto"/>
        <w:ind w:left="-567" w:firstLine="0"/>
        <w:jc w:val="both"/>
        <w:rPr>
          <w:rFonts w:ascii="Calibri" w:hAnsi="Calibri" w:cs="Arial"/>
          <w:bCs/>
          <w:sz w:val="22"/>
          <w:szCs w:val="22"/>
        </w:rPr>
      </w:pPr>
      <w:r w:rsidRPr="00C44409">
        <w:rPr>
          <w:rFonts w:ascii="Calibri" w:hAnsi="Calibri" w:cs="Arial"/>
          <w:bCs/>
          <w:sz w:val="22"/>
          <w:szCs w:val="22"/>
        </w:rPr>
        <w:t xml:space="preserve">Poprawa wyniku odsetkowego była głównym driverem lepszego wyniku na działalności bankowej; </w:t>
      </w:r>
    </w:p>
    <w:p w:rsidR="009870BB" w:rsidRPr="00C44409" w:rsidRDefault="009870BB" w:rsidP="009870BB">
      <w:pPr>
        <w:numPr>
          <w:ilvl w:val="0"/>
          <w:numId w:val="27"/>
        </w:numPr>
        <w:spacing w:line="276" w:lineRule="auto"/>
        <w:ind w:left="-567" w:firstLine="0"/>
        <w:jc w:val="both"/>
        <w:rPr>
          <w:rFonts w:ascii="Calibri" w:hAnsi="Calibri" w:cs="Arial"/>
          <w:bCs/>
          <w:sz w:val="22"/>
          <w:szCs w:val="22"/>
        </w:rPr>
      </w:pPr>
      <w:r w:rsidRPr="00C44409">
        <w:rPr>
          <w:rFonts w:ascii="Calibri" w:hAnsi="Calibri" w:cs="Arial"/>
          <w:bCs/>
          <w:sz w:val="22"/>
          <w:szCs w:val="22"/>
        </w:rPr>
        <w:t xml:space="preserve">Koszty działania wzrosły umiarkowanie szybko (o ok. 4%), ale </w:t>
      </w:r>
      <w:r w:rsidRPr="00C44409">
        <w:rPr>
          <w:rFonts w:ascii="Calibri" w:hAnsi="Calibri" w:cs="Arial"/>
          <w:b/>
          <w:bCs/>
          <w:sz w:val="22"/>
          <w:szCs w:val="22"/>
        </w:rPr>
        <w:t>efektywność kosztowa lekko zmniejszyła się</w:t>
      </w:r>
      <w:r w:rsidRPr="00C44409">
        <w:rPr>
          <w:rFonts w:ascii="Calibri" w:hAnsi="Calibri" w:cs="Arial"/>
          <w:bCs/>
          <w:sz w:val="22"/>
          <w:szCs w:val="22"/>
        </w:rPr>
        <w:t xml:space="preserve"> – relacja kosztów do dochodów wzrosła o 1 p.p. do 66,5%; </w:t>
      </w:r>
    </w:p>
    <w:p w:rsidR="009870BB" w:rsidRPr="00C44409" w:rsidRDefault="009870BB" w:rsidP="009870BB">
      <w:pPr>
        <w:numPr>
          <w:ilvl w:val="0"/>
          <w:numId w:val="27"/>
        </w:numPr>
        <w:spacing w:line="276" w:lineRule="auto"/>
        <w:ind w:left="-567" w:firstLine="0"/>
        <w:jc w:val="both"/>
        <w:rPr>
          <w:rFonts w:ascii="Calibri" w:hAnsi="Calibri" w:cs="Arial"/>
          <w:bCs/>
          <w:sz w:val="22"/>
          <w:szCs w:val="22"/>
        </w:rPr>
      </w:pPr>
      <w:r w:rsidRPr="00C44409">
        <w:rPr>
          <w:rFonts w:ascii="Calibri" w:hAnsi="Calibri" w:cs="Arial"/>
          <w:b/>
          <w:bCs/>
          <w:sz w:val="22"/>
          <w:szCs w:val="22"/>
        </w:rPr>
        <w:t>Jakość portfela kredytowego poprawiła się i jest dobra</w:t>
      </w:r>
      <w:r w:rsidRPr="00C44409">
        <w:rPr>
          <w:rFonts w:ascii="Calibri" w:hAnsi="Calibri" w:cs="Arial"/>
          <w:bCs/>
          <w:sz w:val="22"/>
          <w:szCs w:val="22"/>
        </w:rPr>
        <w:t>, a udział kredytów zagrożonych w strukturze kredytów ogółem stanowi 5,85%. Wartość kredytów zagrożonych zmniejszyła się w 1H’13 o ok. 1 mln PLN. Bank w tym czasie dokonał niższych odpisów niż przed rokiem, co dodatkowo wsparło wynik;</w:t>
      </w:r>
    </w:p>
    <w:p w:rsidR="009870BB" w:rsidRPr="00C44409" w:rsidRDefault="009870BB" w:rsidP="009870BB">
      <w:pPr>
        <w:numPr>
          <w:ilvl w:val="0"/>
          <w:numId w:val="27"/>
        </w:numPr>
        <w:spacing w:line="276" w:lineRule="auto"/>
        <w:ind w:left="-567" w:firstLine="0"/>
        <w:jc w:val="both"/>
        <w:rPr>
          <w:rFonts w:ascii="Calibri" w:hAnsi="Calibri" w:cs="Arial"/>
          <w:bCs/>
          <w:sz w:val="22"/>
          <w:szCs w:val="22"/>
        </w:rPr>
      </w:pPr>
      <w:r w:rsidRPr="00C44409">
        <w:rPr>
          <w:rFonts w:ascii="Calibri" w:hAnsi="Calibri" w:cs="Arial"/>
          <w:bCs/>
          <w:sz w:val="22"/>
          <w:szCs w:val="22"/>
        </w:rPr>
        <w:t>Pokrycie kredytów zagrożonych rezerwami wynosi 25%;</w:t>
      </w:r>
    </w:p>
    <w:p w:rsidR="009870BB" w:rsidRPr="00C44409" w:rsidRDefault="009870BB" w:rsidP="009870BB">
      <w:pPr>
        <w:numPr>
          <w:ilvl w:val="0"/>
          <w:numId w:val="27"/>
        </w:numPr>
        <w:spacing w:line="276" w:lineRule="auto"/>
        <w:ind w:left="-567" w:firstLine="0"/>
        <w:jc w:val="both"/>
        <w:rPr>
          <w:rFonts w:ascii="Calibri" w:hAnsi="Calibri" w:cs="Arial"/>
          <w:bCs/>
          <w:sz w:val="22"/>
          <w:szCs w:val="22"/>
        </w:rPr>
      </w:pPr>
      <w:r w:rsidRPr="00C44409">
        <w:rPr>
          <w:rFonts w:ascii="Calibri" w:hAnsi="Calibri" w:cs="Arial"/>
          <w:bCs/>
          <w:sz w:val="22"/>
          <w:szCs w:val="22"/>
        </w:rPr>
        <w:t>Lekkiej przebudowie uległa struktura aktywów, tzn. bank zwiększył akcję kredytową zmniejszając jednocześnie poziom zaangażowania w dłużne papiery wartościowe. Jednocześnie nadwyżki zgromadzonych środków lokowane są w banku zrzeszającym (stan należności od sektora finansowego uległ prawie podwojeniu i wynosi 133,2 mln PLN);</w:t>
      </w:r>
    </w:p>
    <w:p w:rsidR="009870BB" w:rsidRPr="00C44409" w:rsidRDefault="009870BB" w:rsidP="009870BB">
      <w:pPr>
        <w:numPr>
          <w:ilvl w:val="0"/>
          <w:numId w:val="27"/>
        </w:numPr>
        <w:spacing w:line="276" w:lineRule="auto"/>
        <w:ind w:left="-567" w:firstLine="0"/>
        <w:jc w:val="both"/>
        <w:rPr>
          <w:rFonts w:ascii="Calibri" w:hAnsi="Calibri" w:cs="Arial"/>
          <w:b/>
          <w:bCs/>
          <w:sz w:val="22"/>
          <w:szCs w:val="22"/>
        </w:rPr>
      </w:pPr>
      <w:r w:rsidRPr="00C44409">
        <w:rPr>
          <w:rFonts w:ascii="Calibri" w:hAnsi="Calibri" w:cs="Arial"/>
          <w:bCs/>
          <w:sz w:val="22"/>
          <w:szCs w:val="22"/>
        </w:rPr>
        <w:t xml:space="preserve">Zwiększenie wartości aktywów ważonych ryzykiem (wymóg kapitałowy +8%) przy wolniejszym wzroście funduszy własnych (+6%) doprowadziło do </w:t>
      </w:r>
      <w:r w:rsidRPr="00C44409">
        <w:rPr>
          <w:rFonts w:ascii="Calibri" w:hAnsi="Calibri" w:cs="Arial"/>
          <w:b/>
          <w:bCs/>
          <w:sz w:val="22"/>
          <w:szCs w:val="22"/>
        </w:rPr>
        <w:t>obniżenia współczynnika wypłacalności do 10,68%.</w:t>
      </w: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F2B28" w:rsidRDefault="00CF2B28">
      <w:pPr>
        <w:rPr>
          <w:rFonts w:asciiTheme="minorHAnsi" w:hAnsiTheme="minorHAnsi" w:cs="Arial"/>
          <w:sz w:val="20"/>
          <w:szCs w:val="20"/>
        </w:rPr>
      </w:pPr>
      <w:r>
        <w:rPr>
          <w:rFonts w:asciiTheme="minorHAnsi" w:hAnsiTheme="minorHAnsi" w:cs="Arial"/>
          <w:sz w:val="20"/>
          <w:szCs w:val="20"/>
        </w:rPr>
        <w:br w:type="page"/>
      </w:r>
    </w:p>
    <w:p w:rsidR="00C44409" w:rsidRPr="00636E50" w:rsidRDefault="00C44409" w:rsidP="00636E50">
      <w:pPr>
        <w:pStyle w:val="Nagwek1"/>
      </w:pPr>
      <w:bookmarkStart w:id="9" w:name="_Toc368572359"/>
      <w:r w:rsidRPr="00636E50">
        <w:lastRenderedPageBreak/>
        <w:t xml:space="preserve">BANK SPÓŁDZIELCZY </w:t>
      </w:r>
      <w:r w:rsidR="00636E50">
        <w:t>W SKIERNIEWICACH</w:t>
      </w:r>
      <w:bookmarkEnd w:id="9"/>
    </w:p>
    <w:p w:rsidR="00C44409" w:rsidRPr="00366A2D" w:rsidRDefault="00C44409" w:rsidP="00C44409">
      <w:pPr>
        <w:tabs>
          <w:tab w:val="left" w:pos="6960"/>
        </w:tabs>
        <w:ind w:left="-510"/>
        <w:rPr>
          <w:rFonts w:asciiTheme="minorHAnsi" w:hAnsiTheme="minorHAnsi" w:cs="Arial"/>
          <w:sz w:val="22"/>
          <w:szCs w:val="22"/>
        </w:rPr>
      </w:pPr>
    </w:p>
    <w:tbl>
      <w:tblPr>
        <w:tblW w:w="3979" w:type="dxa"/>
        <w:tblInd w:w="60" w:type="dxa"/>
        <w:tblCellMar>
          <w:left w:w="70" w:type="dxa"/>
          <w:right w:w="70" w:type="dxa"/>
        </w:tblCellMar>
        <w:tblLook w:val="04A0"/>
      </w:tblPr>
      <w:tblGrid>
        <w:gridCol w:w="2600"/>
        <w:gridCol w:w="546"/>
        <w:gridCol w:w="833"/>
      </w:tblGrid>
      <w:tr w:rsidR="009F57B5" w:rsidTr="009057F0">
        <w:trPr>
          <w:trHeight w:val="252"/>
        </w:trPr>
        <w:tc>
          <w:tcPr>
            <w:tcW w:w="2600" w:type="dxa"/>
            <w:tcBorders>
              <w:top w:val="single" w:sz="8" w:space="0" w:color="FFFFFF"/>
              <w:left w:val="single" w:sz="8" w:space="0" w:color="FFFFFF"/>
              <w:bottom w:val="single" w:sz="8" w:space="0" w:color="1EAA82"/>
              <w:right w:val="nil"/>
            </w:tcBorders>
            <w:shd w:val="clear" w:color="000000" w:fill="FFFFFF"/>
            <w:vAlign w:val="center"/>
            <w:hideMark/>
          </w:tcPr>
          <w:p w:rsidR="009F57B5" w:rsidRDefault="009F57B5" w:rsidP="009057F0">
            <w:pPr>
              <w:rPr>
                <w:rFonts w:ascii="Calibri" w:hAnsi="Calibri" w:cs="Calibri"/>
                <w:b/>
                <w:bCs/>
                <w:color w:val="000000"/>
                <w:sz w:val="18"/>
                <w:szCs w:val="18"/>
              </w:rPr>
            </w:pPr>
            <w:r>
              <w:rPr>
                <w:rFonts w:ascii="Calibri" w:hAnsi="Calibri" w:cs="Calibri"/>
                <w:b/>
                <w:bCs/>
                <w:color w:val="000000"/>
                <w:sz w:val="18"/>
                <w:szCs w:val="18"/>
              </w:rPr>
              <w:t>Podstawowe dane</w:t>
            </w:r>
          </w:p>
        </w:tc>
        <w:tc>
          <w:tcPr>
            <w:tcW w:w="546" w:type="dxa"/>
            <w:tcBorders>
              <w:top w:val="single" w:sz="8" w:space="0" w:color="FFFFFF"/>
              <w:left w:val="nil"/>
              <w:bottom w:val="single" w:sz="8" w:space="0" w:color="1EAA82"/>
              <w:right w:val="single" w:sz="8" w:space="0" w:color="FFFFFF"/>
            </w:tcBorders>
            <w:shd w:val="clear" w:color="000000" w:fill="FFFFFF"/>
            <w:vAlign w:val="center"/>
            <w:hideMark/>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2012 </w:t>
            </w:r>
          </w:p>
        </w:tc>
        <w:tc>
          <w:tcPr>
            <w:tcW w:w="833" w:type="dxa"/>
            <w:tcBorders>
              <w:top w:val="single" w:sz="8" w:space="0" w:color="FFFFFF"/>
              <w:left w:val="nil"/>
              <w:bottom w:val="single" w:sz="8" w:space="0" w:color="1EAA82"/>
              <w:right w:val="single" w:sz="8" w:space="0" w:color="FFFFFF"/>
            </w:tcBorders>
            <w:shd w:val="clear" w:color="000000" w:fill="FFFFFF"/>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1H’13</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Suma bilansowa [mln PLN]</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694</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778</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Kapitały własne [mln PLN]</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46</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50</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 xml:space="preserve">Współczynnik wypłacalności [%]                      </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9,9</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10,2</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C/I [%]</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61,6</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64,0</w:t>
            </w:r>
          </w:p>
        </w:tc>
      </w:tr>
    </w:tbl>
    <w:p w:rsidR="009F57B5" w:rsidRPr="00366A2D" w:rsidRDefault="009F57B5" w:rsidP="00C44409">
      <w:pPr>
        <w:tabs>
          <w:tab w:val="left" w:pos="6960"/>
        </w:tabs>
        <w:ind w:left="-510"/>
        <w:rPr>
          <w:rFonts w:asciiTheme="minorHAnsi" w:hAnsiTheme="minorHAnsi" w:cs="Arial"/>
          <w:sz w:val="22"/>
          <w:szCs w:val="22"/>
        </w:rPr>
      </w:pPr>
    </w:p>
    <w:p w:rsidR="00C44409" w:rsidRDefault="00C44409" w:rsidP="00C44409">
      <w:pPr>
        <w:tabs>
          <w:tab w:val="left" w:pos="6960"/>
        </w:tabs>
        <w:spacing w:line="276" w:lineRule="auto"/>
        <w:ind w:left="-510"/>
        <w:jc w:val="both"/>
        <w:rPr>
          <w:rFonts w:ascii="Calibri" w:hAnsi="Calibri" w:cs="Arial"/>
          <w:bCs/>
          <w:sz w:val="22"/>
          <w:szCs w:val="22"/>
        </w:rPr>
      </w:pPr>
      <w:r w:rsidRPr="00C44409">
        <w:rPr>
          <w:rFonts w:ascii="Calibri" w:hAnsi="Calibri" w:cs="Arial"/>
          <w:b/>
          <w:bCs/>
          <w:sz w:val="22"/>
          <w:szCs w:val="22"/>
        </w:rPr>
        <w:t xml:space="preserve">Poprawa wyników. </w:t>
      </w:r>
      <w:r w:rsidRPr="00C44409">
        <w:rPr>
          <w:rFonts w:ascii="Calibri" w:hAnsi="Calibri" w:cs="Arial"/>
          <w:bCs/>
          <w:sz w:val="22"/>
          <w:szCs w:val="22"/>
        </w:rPr>
        <w:t>Bank Spółdzielczy w Skierniewicach w 1H’13 osiągnął 14,8 mln PLN zysku na działalności bankowej i 3,3 mln PLN zysku netto.</w:t>
      </w:r>
    </w:p>
    <w:p w:rsidR="00CE2571" w:rsidRPr="00CE2571" w:rsidRDefault="00CE2571" w:rsidP="00C44409">
      <w:pPr>
        <w:tabs>
          <w:tab w:val="left" w:pos="6960"/>
        </w:tabs>
        <w:spacing w:line="276" w:lineRule="auto"/>
        <w:ind w:left="-510"/>
        <w:jc w:val="both"/>
        <w:rPr>
          <w:rFonts w:ascii="Calibri" w:hAnsi="Calibri" w:cs="Arial"/>
          <w:bCs/>
          <w:sz w:val="12"/>
          <w:szCs w:val="12"/>
        </w:rPr>
      </w:pPr>
    </w:p>
    <w:p w:rsidR="00C44409" w:rsidRDefault="00C44409" w:rsidP="00C44409">
      <w:pPr>
        <w:tabs>
          <w:tab w:val="left" w:pos="6960"/>
        </w:tabs>
        <w:ind w:left="-510"/>
        <w:rPr>
          <w:rFonts w:asciiTheme="minorHAnsi" w:hAnsiTheme="minorHAnsi" w:cs="Arial"/>
          <w:sz w:val="26"/>
          <w:szCs w:val="26"/>
        </w:rPr>
      </w:pPr>
      <w:r>
        <w:rPr>
          <w:noProof/>
          <w:szCs w:val="26"/>
        </w:rPr>
        <w:drawing>
          <wp:anchor distT="0" distB="0" distL="114300" distR="114300" simplePos="0" relativeHeight="251654656" behindDoc="1" locked="0" layoutInCell="1" allowOverlap="1">
            <wp:simplePos x="0" y="0"/>
            <wp:positionH relativeFrom="column">
              <wp:posOffset>-399415</wp:posOffset>
            </wp:positionH>
            <wp:positionV relativeFrom="paragraph">
              <wp:posOffset>1270</wp:posOffset>
            </wp:positionV>
            <wp:extent cx="3524250" cy="2095500"/>
            <wp:effectExtent l="19050" t="0" r="0" b="0"/>
            <wp:wrapNone/>
            <wp:docPr id="24"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srcRect/>
                    <a:stretch>
                      <a:fillRect/>
                    </a:stretch>
                  </pic:blipFill>
                  <pic:spPr bwMode="auto">
                    <a:xfrm>
                      <a:off x="0" y="0"/>
                      <a:ext cx="3524250" cy="2095500"/>
                    </a:xfrm>
                    <a:prstGeom prst="rect">
                      <a:avLst/>
                    </a:prstGeom>
                    <a:noFill/>
                    <a:ln w="9525">
                      <a:noFill/>
                      <a:miter lim="800000"/>
                      <a:headEnd/>
                      <a:tailEnd/>
                    </a:ln>
                  </pic:spPr>
                </pic:pic>
              </a:graphicData>
            </a:graphic>
          </wp:anchor>
        </w:drawing>
      </w:r>
      <w:r>
        <w:rPr>
          <w:noProof/>
          <w:szCs w:val="26"/>
        </w:rPr>
        <w:drawing>
          <wp:anchor distT="0" distB="0" distL="114300" distR="114300" simplePos="0" relativeHeight="251653632" behindDoc="1" locked="0" layoutInCell="1" allowOverlap="1">
            <wp:simplePos x="0" y="0"/>
            <wp:positionH relativeFrom="column">
              <wp:posOffset>3181985</wp:posOffset>
            </wp:positionH>
            <wp:positionV relativeFrom="paragraph">
              <wp:posOffset>1270</wp:posOffset>
            </wp:positionV>
            <wp:extent cx="3457575" cy="2124075"/>
            <wp:effectExtent l="19050" t="0" r="9525" b="0"/>
            <wp:wrapNone/>
            <wp:docPr id="25"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srcRect/>
                    <a:stretch>
                      <a:fillRect/>
                    </a:stretch>
                  </pic:blipFill>
                  <pic:spPr bwMode="auto">
                    <a:xfrm>
                      <a:off x="0" y="0"/>
                      <a:ext cx="3457575" cy="2124075"/>
                    </a:xfrm>
                    <a:prstGeom prst="rect">
                      <a:avLst/>
                    </a:prstGeom>
                    <a:noFill/>
                    <a:ln w="9525">
                      <a:noFill/>
                      <a:miter lim="800000"/>
                      <a:headEnd/>
                      <a:tailEnd/>
                    </a:ln>
                  </pic:spPr>
                </pic:pic>
              </a:graphicData>
            </a:graphic>
          </wp:anchor>
        </w:drawing>
      </w: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9870BB" w:rsidRDefault="009870BB" w:rsidP="00C44409">
      <w:pPr>
        <w:tabs>
          <w:tab w:val="left" w:pos="6960"/>
        </w:tabs>
        <w:ind w:left="-510"/>
        <w:rPr>
          <w:rFonts w:asciiTheme="minorHAnsi" w:hAnsiTheme="minorHAnsi" w:cs="Arial"/>
          <w:sz w:val="26"/>
          <w:szCs w:val="26"/>
        </w:rPr>
      </w:pPr>
    </w:p>
    <w:p w:rsidR="009870BB" w:rsidRPr="00C44409" w:rsidRDefault="009870BB" w:rsidP="009870BB">
      <w:pPr>
        <w:numPr>
          <w:ilvl w:val="0"/>
          <w:numId w:val="28"/>
        </w:numPr>
        <w:spacing w:line="276" w:lineRule="auto"/>
        <w:ind w:left="-567" w:firstLine="0"/>
        <w:jc w:val="both"/>
        <w:rPr>
          <w:rFonts w:ascii="Calibri" w:hAnsi="Calibri" w:cs="Arial"/>
          <w:bCs/>
          <w:sz w:val="22"/>
          <w:szCs w:val="22"/>
        </w:rPr>
      </w:pPr>
      <w:r w:rsidRPr="00C44409">
        <w:rPr>
          <w:rFonts w:ascii="Calibri" w:hAnsi="Calibri" w:cs="Arial"/>
          <w:bCs/>
          <w:sz w:val="22"/>
          <w:szCs w:val="22"/>
        </w:rPr>
        <w:t>Akcja kredytowa wzrosła o ok. 7% licząc od początku roku, co korzystnie wpłynęło na przychody odsetkowe i przy równie dynamicznym wzroście kosztów odsetkowych pozwoliło wypracować wyższy niż przed rokiem wynik odsetkowy. Marża odsetkowa netto spadła o 0,33 p.p. do 3,65%;</w:t>
      </w:r>
    </w:p>
    <w:p w:rsidR="009870BB" w:rsidRPr="00C44409" w:rsidRDefault="009870BB" w:rsidP="009870BB">
      <w:pPr>
        <w:numPr>
          <w:ilvl w:val="0"/>
          <w:numId w:val="28"/>
        </w:numPr>
        <w:spacing w:line="276" w:lineRule="auto"/>
        <w:ind w:left="-567" w:firstLine="0"/>
        <w:jc w:val="both"/>
        <w:rPr>
          <w:rFonts w:ascii="Calibri" w:hAnsi="Calibri" w:cs="Arial"/>
          <w:bCs/>
          <w:sz w:val="22"/>
          <w:szCs w:val="22"/>
        </w:rPr>
      </w:pPr>
      <w:r w:rsidRPr="00C44409">
        <w:rPr>
          <w:rFonts w:ascii="Calibri" w:hAnsi="Calibri" w:cs="Arial"/>
          <w:bCs/>
          <w:sz w:val="22"/>
          <w:szCs w:val="22"/>
        </w:rPr>
        <w:t xml:space="preserve">Wynik na działalności bankowej wzrósł w podobnym tempie jak wynik odsetkowy. Koszty działania wzrosły nieco dynamiczniej i </w:t>
      </w:r>
      <w:r w:rsidRPr="00C44409">
        <w:rPr>
          <w:rFonts w:ascii="Calibri" w:hAnsi="Calibri" w:cs="Arial"/>
          <w:b/>
          <w:bCs/>
          <w:sz w:val="22"/>
          <w:szCs w:val="22"/>
        </w:rPr>
        <w:t>efektywność kosztowa obniżyła się, ale na tle sektora bankowości spółdzielczej relacja kosztów do dochodów prezentuje się dobrze (C/I=64,0%);</w:t>
      </w:r>
    </w:p>
    <w:p w:rsidR="009870BB" w:rsidRPr="00C44409" w:rsidRDefault="009870BB" w:rsidP="009870BB">
      <w:pPr>
        <w:numPr>
          <w:ilvl w:val="0"/>
          <w:numId w:val="28"/>
        </w:numPr>
        <w:spacing w:line="276" w:lineRule="auto"/>
        <w:ind w:left="-567" w:firstLine="0"/>
        <w:jc w:val="both"/>
        <w:rPr>
          <w:rFonts w:ascii="Calibri" w:hAnsi="Calibri" w:cs="Arial"/>
          <w:bCs/>
          <w:sz w:val="22"/>
          <w:szCs w:val="22"/>
        </w:rPr>
      </w:pPr>
      <w:r w:rsidRPr="00C44409">
        <w:rPr>
          <w:rFonts w:ascii="Calibri" w:hAnsi="Calibri" w:cs="Arial"/>
          <w:bCs/>
          <w:sz w:val="22"/>
          <w:szCs w:val="22"/>
        </w:rPr>
        <w:t>Niższe niż przed rokiem odpisy (o 1,5 mln PLN) dodatkowo korzystnie wpłynęły na wynik brutto;</w:t>
      </w:r>
    </w:p>
    <w:p w:rsidR="009870BB" w:rsidRPr="00C44409" w:rsidRDefault="009870BB" w:rsidP="009870BB">
      <w:pPr>
        <w:numPr>
          <w:ilvl w:val="0"/>
          <w:numId w:val="28"/>
        </w:numPr>
        <w:spacing w:line="276" w:lineRule="auto"/>
        <w:ind w:left="-567" w:firstLine="0"/>
        <w:jc w:val="both"/>
        <w:rPr>
          <w:rFonts w:ascii="Calibri" w:hAnsi="Calibri" w:cs="Arial"/>
          <w:bCs/>
          <w:sz w:val="22"/>
          <w:szCs w:val="22"/>
        </w:rPr>
      </w:pPr>
      <w:r w:rsidRPr="00C44409">
        <w:rPr>
          <w:rFonts w:ascii="Calibri" w:hAnsi="Calibri" w:cs="Arial"/>
          <w:b/>
          <w:bCs/>
          <w:sz w:val="22"/>
          <w:szCs w:val="22"/>
        </w:rPr>
        <w:t>Jakość portfela kredytowego jest dobra</w:t>
      </w:r>
      <w:r w:rsidRPr="00C44409">
        <w:rPr>
          <w:rFonts w:ascii="Calibri" w:hAnsi="Calibri" w:cs="Arial"/>
          <w:bCs/>
          <w:sz w:val="22"/>
          <w:szCs w:val="22"/>
        </w:rPr>
        <w:t xml:space="preserve"> (kredyty zagrożone w strukturze kredytów ogółem stanowią 6,42% wobec 6,34% średniej dla sektora bankowości spółdzielczej);</w:t>
      </w:r>
    </w:p>
    <w:p w:rsidR="009870BB" w:rsidRPr="00C44409" w:rsidRDefault="009870BB" w:rsidP="009870BB">
      <w:pPr>
        <w:numPr>
          <w:ilvl w:val="0"/>
          <w:numId w:val="28"/>
        </w:numPr>
        <w:spacing w:line="276" w:lineRule="auto"/>
        <w:ind w:left="-567" w:firstLine="0"/>
        <w:jc w:val="both"/>
        <w:rPr>
          <w:rFonts w:ascii="Calibri" w:hAnsi="Calibri" w:cs="Arial"/>
          <w:bCs/>
          <w:sz w:val="22"/>
          <w:szCs w:val="22"/>
        </w:rPr>
      </w:pPr>
      <w:r w:rsidRPr="00C44409">
        <w:rPr>
          <w:rFonts w:ascii="Calibri" w:hAnsi="Calibri" w:cs="Arial"/>
          <w:b/>
          <w:bCs/>
          <w:sz w:val="22"/>
          <w:szCs w:val="22"/>
        </w:rPr>
        <w:t>Mimo wzrostu skali działalności współczynnik wypłacalności lekko wzrósł do 10,16%</w:t>
      </w:r>
      <w:r w:rsidRPr="00C44409">
        <w:rPr>
          <w:rFonts w:ascii="Calibri" w:hAnsi="Calibri" w:cs="Arial"/>
          <w:bCs/>
          <w:sz w:val="22"/>
          <w:szCs w:val="22"/>
        </w:rPr>
        <w:t>, czyli poniżej po</w:t>
      </w:r>
      <w:r>
        <w:rPr>
          <w:rFonts w:ascii="Calibri" w:hAnsi="Calibri" w:cs="Arial"/>
          <w:bCs/>
          <w:sz w:val="22"/>
          <w:szCs w:val="22"/>
        </w:rPr>
        <w:t>ziomu rekomendowanego przez KNF.</w:t>
      </w:r>
    </w:p>
    <w:p w:rsidR="009870BB" w:rsidRDefault="009870BB"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44409" w:rsidRDefault="00C44409" w:rsidP="00C44409">
      <w:pPr>
        <w:tabs>
          <w:tab w:val="left" w:pos="6960"/>
        </w:tabs>
        <w:ind w:left="-510"/>
        <w:rPr>
          <w:rFonts w:asciiTheme="minorHAnsi" w:hAnsiTheme="minorHAnsi" w:cs="Arial"/>
          <w:sz w:val="26"/>
          <w:szCs w:val="26"/>
        </w:rPr>
      </w:pPr>
    </w:p>
    <w:p w:rsidR="00CF2B28" w:rsidRDefault="00CF2B28">
      <w:pPr>
        <w:rPr>
          <w:rFonts w:asciiTheme="minorHAnsi" w:hAnsiTheme="minorHAnsi" w:cs="Arial"/>
          <w:sz w:val="20"/>
          <w:szCs w:val="20"/>
        </w:rPr>
      </w:pPr>
      <w:r>
        <w:rPr>
          <w:rFonts w:asciiTheme="minorHAnsi" w:hAnsiTheme="minorHAnsi" w:cs="Arial"/>
          <w:sz w:val="20"/>
          <w:szCs w:val="20"/>
        </w:rPr>
        <w:br w:type="page"/>
      </w:r>
    </w:p>
    <w:p w:rsidR="00CE2571" w:rsidRPr="00636E50" w:rsidRDefault="00CE2571" w:rsidP="00636E50">
      <w:pPr>
        <w:pStyle w:val="Nagwek1"/>
      </w:pPr>
      <w:bookmarkStart w:id="10" w:name="_Toc368572360"/>
      <w:r w:rsidRPr="00636E50">
        <w:lastRenderedPageBreak/>
        <w:t>BANK SPÓŁDZIELCZY W PŁOŃSKU</w:t>
      </w:r>
      <w:bookmarkEnd w:id="10"/>
    </w:p>
    <w:p w:rsidR="00CE2571" w:rsidRPr="00366A2D" w:rsidRDefault="00CE2571" w:rsidP="00CE2571">
      <w:pPr>
        <w:tabs>
          <w:tab w:val="left" w:pos="6960"/>
        </w:tabs>
        <w:ind w:left="-510"/>
        <w:rPr>
          <w:rFonts w:asciiTheme="minorHAnsi" w:hAnsiTheme="minorHAnsi" w:cs="Arial"/>
          <w:sz w:val="22"/>
          <w:szCs w:val="22"/>
        </w:rPr>
      </w:pPr>
    </w:p>
    <w:tbl>
      <w:tblPr>
        <w:tblW w:w="3979" w:type="dxa"/>
        <w:tblInd w:w="60" w:type="dxa"/>
        <w:tblCellMar>
          <w:left w:w="70" w:type="dxa"/>
          <w:right w:w="70" w:type="dxa"/>
        </w:tblCellMar>
        <w:tblLook w:val="04A0"/>
      </w:tblPr>
      <w:tblGrid>
        <w:gridCol w:w="2600"/>
        <w:gridCol w:w="546"/>
        <w:gridCol w:w="833"/>
      </w:tblGrid>
      <w:tr w:rsidR="009F57B5" w:rsidTr="009057F0">
        <w:trPr>
          <w:trHeight w:val="252"/>
        </w:trPr>
        <w:tc>
          <w:tcPr>
            <w:tcW w:w="2600" w:type="dxa"/>
            <w:tcBorders>
              <w:top w:val="single" w:sz="8" w:space="0" w:color="FFFFFF"/>
              <w:left w:val="single" w:sz="8" w:space="0" w:color="FFFFFF"/>
              <w:bottom w:val="single" w:sz="8" w:space="0" w:color="1EAA82"/>
              <w:right w:val="nil"/>
            </w:tcBorders>
            <w:shd w:val="clear" w:color="000000" w:fill="FFFFFF"/>
            <w:vAlign w:val="center"/>
            <w:hideMark/>
          </w:tcPr>
          <w:p w:rsidR="009F57B5" w:rsidRDefault="009F57B5" w:rsidP="009057F0">
            <w:pPr>
              <w:rPr>
                <w:rFonts w:ascii="Calibri" w:hAnsi="Calibri" w:cs="Calibri"/>
                <w:b/>
                <w:bCs/>
                <w:color w:val="000000"/>
                <w:sz w:val="18"/>
                <w:szCs w:val="18"/>
              </w:rPr>
            </w:pPr>
            <w:r>
              <w:rPr>
                <w:rFonts w:ascii="Calibri" w:hAnsi="Calibri" w:cs="Calibri"/>
                <w:b/>
                <w:bCs/>
                <w:color w:val="000000"/>
                <w:sz w:val="18"/>
                <w:szCs w:val="18"/>
              </w:rPr>
              <w:t>Podstawowe dane</w:t>
            </w:r>
          </w:p>
        </w:tc>
        <w:tc>
          <w:tcPr>
            <w:tcW w:w="546" w:type="dxa"/>
            <w:tcBorders>
              <w:top w:val="single" w:sz="8" w:space="0" w:color="FFFFFF"/>
              <w:left w:val="nil"/>
              <w:bottom w:val="single" w:sz="8" w:space="0" w:color="1EAA82"/>
              <w:right w:val="single" w:sz="8" w:space="0" w:color="FFFFFF"/>
            </w:tcBorders>
            <w:shd w:val="clear" w:color="000000" w:fill="FFFFFF"/>
            <w:vAlign w:val="center"/>
            <w:hideMark/>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2012 </w:t>
            </w:r>
          </w:p>
        </w:tc>
        <w:tc>
          <w:tcPr>
            <w:tcW w:w="833" w:type="dxa"/>
            <w:tcBorders>
              <w:top w:val="single" w:sz="8" w:space="0" w:color="FFFFFF"/>
              <w:left w:val="nil"/>
              <w:bottom w:val="single" w:sz="8" w:space="0" w:color="1EAA82"/>
              <w:right w:val="single" w:sz="8" w:space="0" w:color="FFFFFF"/>
            </w:tcBorders>
            <w:shd w:val="clear" w:color="000000" w:fill="FFFFFF"/>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1H’13</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Suma bilansowa [mln PLN]</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381</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416</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Kapitały własne [mln PLN]</w:t>
            </w:r>
          </w:p>
        </w:tc>
        <w:tc>
          <w:tcPr>
            <w:tcW w:w="546" w:type="dxa"/>
            <w:tcBorders>
              <w:top w:val="nil"/>
              <w:left w:val="nil"/>
              <w:bottom w:val="nil"/>
              <w:right w:val="nil"/>
            </w:tcBorders>
            <w:shd w:val="clear" w:color="000000" w:fill="FFFFFF"/>
            <w:vAlign w:val="center"/>
          </w:tcPr>
          <w:p w:rsidR="009F57B5" w:rsidRDefault="00DF6841" w:rsidP="009057F0">
            <w:pPr>
              <w:jc w:val="right"/>
              <w:rPr>
                <w:rFonts w:ascii="Calibri" w:hAnsi="Calibri" w:cs="Calibri"/>
                <w:color w:val="000000"/>
                <w:sz w:val="18"/>
                <w:szCs w:val="18"/>
              </w:rPr>
            </w:pPr>
            <w:r>
              <w:rPr>
                <w:rFonts w:ascii="Calibri" w:hAnsi="Calibri" w:cs="Calibri"/>
                <w:color w:val="000000"/>
                <w:sz w:val="18"/>
                <w:szCs w:val="18"/>
              </w:rPr>
              <w:t>34</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36</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 xml:space="preserve">Współczynnik wypłacalności [%]                      </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15,2</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15,5</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C/I [%]</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60,1</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65,8</w:t>
            </w:r>
          </w:p>
        </w:tc>
      </w:tr>
    </w:tbl>
    <w:p w:rsidR="009F57B5" w:rsidRPr="00366A2D" w:rsidRDefault="009F57B5" w:rsidP="00CE2571">
      <w:pPr>
        <w:tabs>
          <w:tab w:val="left" w:pos="6960"/>
        </w:tabs>
        <w:ind w:left="-510"/>
        <w:rPr>
          <w:rFonts w:asciiTheme="minorHAnsi" w:hAnsiTheme="minorHAnsi" w:cs="Arial"/>
          <w:sz w:val="22"/>
          <w:szCs w:val="22"/>
        </w:rPr>
      </w:pPr>
    </w:p>
    <w:p w:rsidR="00CE2571" w:rsidRPr="00BB134C" w:rsidRDefault="00CE2571" w:rsidP="009870BB">
      <w:pPr>
        <w:tabs>
          <w:tab w:val="left" w:pos="6960"/>
        </w:tabs>
        <w:spacing w:line="276" w:lineRule="auto"/>
        <w:ind w:left="-510"/>
        <w:jc w:val="both"/>
        <w:rPr>
          <w:rFonts w:ascii="Calibri" w:hAnsi="Calibri" w:cs="Arial"/>
          <w:bCs/>
          <w:sz w:val="22"/>
          <w:szCs w:val="22"/>
        </w:rPr>
      </w:pPr>
      <w:r w:rsidRPr="00BB134C">
        <w:rPr>
          <w:rFonts w:ascii="Calibri" w:hAnsi="Calibri" w:cs="Arial"/>
          <w:b/>
          <w:bCs/>
          <w:sz w:val="22"/>
          <w:szCs w:val="22"/>
        </w:rPr>
        <w:t xml:space="preserve">Bardzo dobra jakość portfela kredytowego i słabsze wyniki finansowe. </w:t>
      </w:r>
      <w:r w:rsidRPr="00BB134C">
        <w:rPr>
          <w:rFonts w:ascii="Calibri" w:hAnsi="Calibri" w:cs="Arial"/>
          <w:bCs/>
          <w:sz w:val="22"/>
          <w:szCs w:val="22"/>
        </w:rPr>
        <w:t>W 1H’13 Bank Spółdzielczy w Płońsku wypracował 8,6 mln PLN zysku na działalności bankowej i 2,2 mln PLN zysku netto.</w:t>
      </w:r>
    </w:p>
    <w:p w:rsidR="00CE2571" w:rsidRDefault="00CE2571" w:rsidP="00CE2571">
      <w:pPr>
        <w:tabs>
          <w:tab w:val="left" w:pos="6960"/>
        </w:tabs>
        <w:ind w:left="-510"/>
        <w:rPr>
          <w:rFonts w:asciiTheme="minorHAnsi" w:hAnsiTheme="minorHAnsi" w:cs="Arial"/>
          <w:sz w:val="26"/>
          <w:szCs w:val="26"/>
        </w:rPr>
      </w:pPr>
      <w:r>
        <w:rPr>
          <w:rFonts w:asciiTheme="minorHAnsi" w:hAnsiTheme="minorHAnsi" w:cs="Arial"/>
          <w:noProof/>
          <w:sz w:val="26"/>
          <w:szCs w:val="26"/>
        </w:rPr>
        <w:drawing>
          <wp:anchor distT="0" distB="0" distL="114300" distR="114300" simplePos="0" relativeHeight="251655680" behindDoc="1" locked="0" layoutInCell="1" allowOverlap="1">
            <wp:simplePos x="0" y="0"/>
            <wp:positionH relativeFrom="column">
              <wp:posOffset>3181985</wp:posOffset>
            </wp:positionH>
            <wp:positionV relativeFrom="paragraph">
              <wp:posOffset>191770</wp:posOffset>
            </wp:positionV>
            <wp:extent cx="3457575" cy="2133600"/>
            <wp:effectExtent l="19050" t="0" r="9525" b="0"/>
            <wp:wrapNone/>
            <wp:docPr id="28"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srcRect/>
                    <a:stretch>
                      <a:fillRect/>
                    </a:stretch>
                  </pic:blipFill>
                  <pic:spPr bwMode="auto">
                    <a:xfrm>
                      <a:off x="0" y="0"/>
                      <a:ext cx="3457575" cy="2133600"/>
                    </a:xfrm>
                    <a:prstGeom prst="rect">
                      <a:avLst/>
                    </a:prstGeom>
                    <a:noFill/>
                    <a:ln w="9525">
                      <a:noFill/>
                      <a:miter lim="800000"/>
                      <a:headEnd/>
                      <a:tailEnd/>
                    </a:ln>
                  </pic:spPr>
                </pic:pic>
              </a:graphicData>
            </a:graphic>
          </wp:anchor>
        </w:drawing>
      </w:r>
    </w:p>
    <w:p w:rsidR="00CE2571" w:rsidRDefault="00CE2571" w:rsidP="00CE2571">
      <w:pPr>
        <w:tabs>
          <w:tab w:val="left" w:pos="6960"/>
        </w:tabs>
        <w:ind w:left="-510"/>
        <w:rPr>
          <w:rFonts w:asciiTheme="minorHAnsi" w:hAnsiTheme="minorHAnsi" w:cs="Arial"/>
          <w:sz w:val="26"/>
          <w:szCs w:val="26"/>
        </w:rPr>
      </w:pPr>
      <w:r>
        <w:rPr>
          <w:noProof/>
          <w:szCs w:val="26"/>
        </w:rPr>
        <w:drawing>
          <wp:anchor distT="0" distB="0" distL="114300" distR="114300" simplePos="0" relativeHeight="251656704" behindDoc="1" locked="0" layoutInCell="1" allowOverlap="1">
            <wp:simplePos x="0" y="0"/>
            <wp:positionH relativeFrom="column">
              <wp:posOffset>-399415</wp:posOffset>
            </wp:positionH>
            <wp:positionV relativeFrom="paragraph">
              <wp:posOffset>0</wp:posOffset>
            </wp:positionV>
            <wp:extent cx="3524250" cy="2095500"/>
            <wp:effectExtent l="19050" t="0" r="0" b="0"/>
            <wp:wrapNone/>
            <wp:docPr id="26"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srcRect/>
                    <a:stretch>
                      <a:fillRect/>
                    </a:stretch>
                  </pic:blipFill>
                  <pic:spPr bwMode="auto">
                    <a:xfrm>
                      <a:off x="0" y="0"/>
                      <a:ext cx="3524250" cy="2095500"/>
                    </a:xfrm>
                    <a:prstGeom prst="rect">
                      <a:avLst/>
                    </a:prstGeom>
                    <a:noFill/>
                    <a:ln w="9525">
                      <a:noFill/>
                      <a:miter lim="800000"/>
                      <a:headEnd/>
                      <a:tailEnd/>
                    </a:ln>
                  </pic:spPr>
                </pic:pic>
              </a:graphicData>
            </a:graphic>
          </wp:anchor>
        </w:drawing>
      </w:r>
    </w:p>
    <w:p w:rsidR="00CE2571" w:rsidRDefault="00CE2571" w:rsidP="00CE2571">
      <w:pPr>
        <w:tabs>
          <w:tab w:val="left" w:pos="6960"/>
        </w:tabs>
        <w:ind w:left="-510"/>
        <w:rPr>
          <w:rFonts w:asciiTheme="minorHAnsi" w:hAnsiTheme="minorHAnsi" w:cs="Arial"/>
          <w:sz w:val="26"/>
          <w:szCs w:val="26"/>
        </w:rPr>
      </w:pPr>
    </w:p>
    <w:p w:rsidR="00BB134C" w:rsidRDefault="00BB134C" w:rsidP="00CE2571">
      <w:pPr>
        <w:tabs>
          <w:tab w:val="left" w:pos="6960"/>
        </w:tabs>
        <w:ind w:left="-510"/>
        <w:rPr>
          <w:rFonts w:asciiTheme="minorHAnsi" w:hAnsiTheme="minorHAnsi" w:cs="Arial"/>
          <w:sz w:val="26"/>
          <w:szCs w:val="26"/>
        </w:rPr>
      </w:pPr>
    </w:p>
    <w:p w:rsidR="00BB134C" w:rsidRDefault="00BB134C" w:rsidP="00CE2571">
      <w:pPr>
        <w:tabs>
          <w:tab w:val="left" w:pos="6960"/>
        </w:tabs>
        <w:ind w:left="-510"/>
        <w:rPr>
          <w:rFonts w:asciiTheme="minorHAnsi" w:hAnsiTheme="minorHAnsi" w:cs="Arial"/>
          <w:sz w:val="26"/>
          <w:szCs w:val="26"/>
        </w:rPr>
      </w:pPr>
    </w:p>
    <w:p w:rsidR="00BB134C" w:rsidRDefault="00BB134C" w:rsidP="00CE2571">
      <w:pPr>
        <w:tabs>
          <w:tab w:val="left" w:pos="6960"/>
        </w:tabs>
        <w:ind w:left="-510"/>
        <w:rPr>
          <w:rFonts w:asciiTheme="minorHAnsi" w:hAnsiTheme="minorHAnsi" w:cs="Arial"/>
          <w:sz w:val="26"/>
          <w:szCs w:val="26"/>
        </w:rPr>
      </w:pPr>
    </w:p>
    <w:p w:rsidR="00BB134C" w:rsidRDefault="00BB134C" w:rsidP="00CE2571">
      <w:pPr>
        <w:tabs>
          <w:tab w:val="left" w:pos="6960"/>
        </w:tabs>
        <w:ind w:left="-510"/>
        <w:rPr>
          <w:rFonts w:asciiTheme="minorHAnsi" w:hAnsiTheme="minorHAnsi" w:cs="Arial"/>
          <w:sz w:val="26"/>
          <w:szCs w:val="26"/>
        </w:rPr>
      </w:pPr>
    </w:p>
    <w:p w:rsidR="00BB134C" w:rsidRDefault="00BB134C" w:rsidP="00CE2571">
      <w:pPr>
        <w:tabs>
          <w:tab w:val="left" w:pos="6960"/>
        </w:tabs>
        <w:ind w:left="-510"/>
        <w:rPr>
          <w:rFonts w:asciiTheme="minorHAnsi" w:hAnsiTheme="minorHAnsi" w:cs="Arial"/>
          <w:sz w:val="26"/>
          <w:szCs w:val="26"/>
        </w:rPr>
      </w:pPr>
    </w:p>
    <w:p w:rsidR="00BB134C" w:rsidRDefault="00BB134C" w:rsidP="00CE2571">
      <w:pPr>
        <w:tabs>
          <w:tab w:val="left" w:pos="6960"/>
        </w:tabs>
        <w:ind w:left="-510"/>
        <w:rPr>
          <w:rFonts w:asciiTheme="minorHAnsi" w:hAnsiTheme="minorHAnsi" w:cs="Arial"/>
          <w:sz w:val="26"/>
          <w:szCs w:val="26"/>
        </w:rPr>
      </w:pPr>
    </w:p>
    <w:p w:rsidR="00BB134C" w:rsidRDefault="00BB134C" w:rsidP="00CE2571">
      <w:pPr>
        <w:tabs>
          <w:tab w:val="left" w:pos="6960"/>
        </w:tabs>
        <w:ind w:left="-510"/>
        <w:rPr>
          <w:rFonts w:asciiTheme="minorHAnsi" w:hAnsiTheme="minorHAnsi" w:cs="Arial"/>
          <w:sz w:val="26"/>
          <w:szCs w:val="26"/>
        </w:rPr>
      </w:pPr>
    </w:p>
    <w:p w:rsidR="00BB134C" w:rsidRDefault="00BB134C" w:rsidP="00CE2571">
      <w:pPr>
        <w:tabs>
          <w:tab w:val="left" w:pos="6960"/>
        </w:tabs>
        <w:ind w:left="-510"/>
        <w:rPr>
          <w:rFonts w:asciiTheme="minorHAnsi" w:hAnsiTheme="minorHAnsi" w:cs="Arial"/>
          <w:sz w:val="26"/>
          <w:szCs w:val="26"/>
        </w:rPr>
      </w:pPr>
    </w:p>
    <w:p w:rsidR="00BB134C" w:rsidRDefault="00BB134C" w:rsidP="00CE2571">
      <w:pPr>
        <w:tabs>
          <w:tab w:val="left" w:pos="6960"/>
        </w:tabs>
        <w:ind w:left="-510"/>
        <w:rPr>
          <w:rFonts w:asciiTheme="minorHAnsi" w:hAnsiTheme="minorHAnsi" w:cs="Arial"/>
          <w:sz w:val="26"/>
          <w:szCs w:val="26"/>
        </w:rPr>
      </w:pPr>
    </w:p>
    <w:p w:rsidR="009870BB" w:rsidRPr="00BB134C" w:rsidRDefault="009870BB" w:rsidP="009870BB">
      <w:pPr>
        <w:numPr>
          <w:ilvl w:val="0"/>
          <w:numId w:val="29"/>
        </w:numPr>
        <w:spacing w:line="276" w:lineRule="auto"/>
        <w:ind w:left="-567" w:firstLine="0"/>
        <w:jc w:val="both"/>
        <w:rPr>
          <w:rFonts w:ascii="Calibri" w:hAnsi="Calibri" w:cs="Arial"/>
          <w:bCs/>
          <w:sz w:val="22"/>
          <w:szCs w:val="22"/>
        </w:rPr>
      </w:pPr>
      <w:r w:rsidRPr="00BB134C">
        <w:rPr>
          <w:rFonts w:ascii="Calibri" w:hAnsi="Calibri" w:cs="Arial"/>
          <w:b/>
          <w:bCs/>
          <w:sz w:val="22"/>
          <w:szCs w:val="22"/>
        </w:rPr>
        <w:t>Wynik odsetkowy pogorszył się w skutek obniżek stóp procentowych</w:t>
      </w:r>
      <w:r w:rsidRPr="00BB134C">
        <w:rPr>
          <w:rFonts w:ascii="Calibri" w:hAnsi="Calibri" w:cs="Arial"/>
          <w:bCs/>
          <w:sz w:val="22"/>
          <w:szCs w:val="22"/>
        </w:rPr>
        <w:t>. Spadek mógłby być większy gdyby nie wzrost akcji kredytowej o 7,6% od początku roku. Marża odsetkowa netto obniżyła się do 3,8%;</w:t>
      </w:r>
    </w:p>
    <w:p w:rsidR="009870BB" w:rsidRPr="00BB134C" w:rsidRDefault="009870BB" w:rsidP="009870BB">
      <w:pPr>
        <w:numPr>
          <w:ilvl w:val="0"/>
          <w:numId w:val="29"/>
        </w:numPr>
        <w:spacing w:line="276" w:lineRule="auto"/>
        <w:ind w:left="-567" w:firstLine="0"/>
        <w:jc w:val="both"/>
        <w:rPr>
          <w:rFonts w:ascii="Calibri" w:hAnsi="Calibri" w:cs="Arial"/>
          <w:bCs/>
          <w:sz w:val="22"/>
          <w:szCs w:val="22"/>
        </w:rPr>
      </w:pPr>
      <w:r w:rsidRPr="00BB134C">
        <w:rPr>
          <w:rFonts w:ascii="Calibri" w:hAnsi="Calibri" w:cs="Arial"/>
          <w:bCs/>
          <w:sz w:val="22"/>
          <w:szCs w:val="22"/>
        </w:rPr>
        <w:t xml:space="preserve">Słabszy wynik odsetkowy zaciążył na wyniku na działalności bankowej. W większym stopniu obniżył się wynik na prowizjach, ale jego wpływ na wynik na działalności bankowej był mniejszy. Przy rosnących kosztach działania (o blisko 10%) </w:t>
      </w:r>
      <w:r w:rsidRPr="00BB134C">
        <w:rPr>
          <w:rFonts w:ascii="Calibri" w:hAnsi="Calibri" w:cs="Arial"/>
          <w:b/>
          <w:bCs/>
          <w:sz w:val="22"/>
          <w:szCs w:val="22"/>
        </w:rPr>
        <w:t>relacja kosztów do dochodów pogorszyła się i wyniosła 64%</w:t>
      </w:r>
      <w:r w:rsidRPr="00BB134C">
        <w:rPr>
          <w:rFonts w:ascii="Calibri" w:hAnsi="Calibri" w:cs="Arial"/>
          <w:bCs/>
          <w:sz w:val="22"/>
          <w:szCs w:val="22"/>
        </w:rPr>
        <w:t>;</w:t>
      </w:r>
    </w:p>
    <w:p w:rsidR="009870BB" w:rsidRPr="00BB134C" w:rsidRDefault="009870BB" w:rsidP="009870BB">
      <w:pPr>
        <w:numPr>
          <w:ilvl w:val="0"/>
          <w:numId w:val="29"/>
        </w:numPr>
        <w:spacing w:line="276" w:lineRule="auto"/>
        <w:ind w:left="-567" w:firstLine="0"/>
        <w:jc w:val="both"/>
        <w:rPr>
          <w:rFonts w:ascii="Calibri" w:hAnsi="Calibri" w:cs="Arial"/>
          <w:bCs/>
          <w:sz w:val="22"/>
          <w:szCs w:val="22"/>
        </w:rPr>
      </w:pPr>
      <w:r w:rsidRPr="00BB134C">
        <w:rPr>
          <w:rFonts w:ascii="Calibri" w:hAnsi="Calibri" w:cs="Arial"/>
          <w:b/>
          <w:bCs/>
          <w:sz w:val="22"/>
          <w:szCs w:val="22"/>
        </w:rPr>
        <w:t>Rozwiązanie rezerw wpłynęło korzystnie na wynik</w:t>
      </w:r>
      <w:r w:rsidRPr="00BB134C">
        <w:rPr>
          <w:rFonts w:ascii="Calibri" w:hAnsi="Calibri" w:cs="Arial"/>
          <w:bCs/>
          <w:sz w:val="22"/>
          <w:szCs w:val="22"/>
        </w:rPr>
        <w:t xml:space="preserve"> (saldo rezerw było ujemne i wyniosło 250 tys. PLN). Pomimo tego wynik netto był  gorszy niż przed rokiem o blisko 0,4 mln PLN;</w:t>
      </w:r>
    </w:p>
    <w:p w:rsidR="009870BB" w:rsidRPr="00BB134C" w:rsidRDefault="009870BB" w:rsidP="009870BB">
      <w:pPr>
        <w:numPr>
          <w:ilvl w:val="0"/>
          <w:numId w:val="29"/>
        </w:numPr>
        <w:spacing w:line="276" w:lineRule="auto"/>
        <w:ind w:left="-567" w:firstLine="0"/>
        <w:jc w:val="both"/>
        <w:rPr>
          <w:rFonts w:ascii="Calibri" w:hAnsi="Calibri" w:cs="Arial"/>
          <w:bCs/>
          <w:sz w:val="22"/>
          <w:szCs w:val="22"/>
        </w:rPr>
      </w:pPr>
      <w:r w:rsidRPr="00BB134C">
        <w:rPr>
          <w:rFonts w:ascii="Calibri" w:hAnsi="Calibri" w:cs="Arial"/>
          <w:b/>
          <w:bCs/>
          <w:sz w:val="22"/>
          <w:szCs w:val="22"/>
        </w:rPr>
        <w:t>Jakość portfela kredytowego jest bardzo wysoka</w:t>
      </w:r>
      <w:r w:rsidRPr="00BB134C">
        <w:rPr>
          <w:rFonts w:ascii="Calibri" w:hAnsi="Calibri" w:cs="Arial"/>
          <w:bCs/>
          <w:sz w:val="22"/>
          <w:szCs w:val="22"/>
        </w:rPr>
        <w:t>, o czym świadczy relacja kredytów zagrożonych do kredytów ogółem na poziomie 3,2%. Wartość kredytów zagrożonych zmniejszyła się, co pozwoliło rozwiązać część rezerw. Poziom pokrycia rezerw jest niski (wzrósł o 1 pp. do 29%), ale może to wynikać z wysokiej jakości zabezpieczeń kredytów;</w:t>
      </w:r>
    </w:p>
    <w:p w:rsidR="009870BB" w:rsidRPr="00BB134C" w:rsidRDefault="009870BB" w:rsidP="009870BB">
      <w:pPr>
        <w:numPr>
          <w:ilvl w:val="0"/>
          <w:numId w:val="29"/>
        </w:numPr>
        <w:spacing w:line="276" w:lineRule="auto"/>
        <w:ind w:left="-567" w:firstLine="0"/>
        <w:jc w:val="both"/>
        <w:rPr>
          <w:rFonts w:ascii="Calibri" w:hAnsi="Calibri" w:cs="Arial"/>
          <w:bCs/>
          <w:sz w:val="22"/>
          <w:szCs w:val="22"/>
        </w:rPr>
      </w:pPr>
      <w:r w:rsidRPr="00BB134C">
        <w:rPr>
          <w:rFonts w:ascii="Calibri" w:hAnsi="Calibri" w:cs="Arial"/>
          <w:b/>
          <w:bCs/>
          <w:sz w:val="22"/>
          <w:szCs w:val="22"/>
        </w:rPr>
        <w:t>Współczynnik wypłacalności jest na wysokim poziomie 15,46%</w:t>
      </w:r>
      <w:r w:rsidRPr="00BB134C">
        <w:rPr>
          <w:rFonts w:ascii="Calibri" w:hAnsi="Calibri" w:cs="Arial"/>
          <w:bCs/>
          <w:sz w:val="22"/>
          <w:szCs w:val="22"/>
        </w:rPr>
        <w:t>;</w:t>
      </w:r>
    </w:p>
    <w:p w:rsidR="009870BB" w:rsidRPr="00BB134C" w:rsidRDefault="009870BB" w:rsidP="009870BB">
      <w:pPr>
        <w:numPr>
          <w:ilvl w:val="0"/>
          <w:numId w:val="29"/>
        </w:numPr>
        <w:spacing w:line="276" w:lineRule="auto"/>
        <w:ind w:left="-567" w:firstLine="0"/>
        <w:jc w:val="both"/>
        <w:rPr>
          <w:rFonts w:ascii="Calibri" w:hAnsi="Calibri" w:cs="Arial"/>
          <w:bCs/>
          <w:sz w:val="22"/>
          <w:szCs w:val="22"/>
        </w:rPr>
      </w:pPr>
      <w:r w:rsidRPr="00BB134C">
        <w:rPr>
          <w:rFonts w:ascii="Calibri" w:hAnsi="Calibri" w:cs="Arial"/>
          <w:b/>
          <w:bCs/>
          <w:sz w:val="22"/>
          <w:szCs w:val="22"/>
        </w:rPr>
        <w:t>Nadzorcze wskaźniki płynności są wysokie</w:t>
      </w:r>
      <w:r w:rsidRPr="00BB134C">
        <w:rPr>
          <w:rFonts w:ascii="Calibri" w:hAnsi="Calibri" w:cs="Arial"/>
          <w:bCs/>
          <w:sz w:val="22"/>
          <w:szCs w:val="22"/>
        </w:rPr>
        <w:t xml:space="preserve">: </w:t>
      </w:r>
    </w:p>
    <w:p w:rsidR="009870BB" w:rsidRPr="00BB134C" w:rsidRDefault="009870BB" w:rsidP="009870BB">
      <w:pPr>
        <w:spacing w:line="276" w:lineRule="auto"/>
        <w:ind w:left="-567"/>
        <w:jc w:val="both"/>
        <w:rPr>
          <w:rFonts w:ascii="Calibri" w:hAnsi="Calibri" w:cs="Arial"/>
          <w:bCs/>
          <w:sz w:val="22"/>
          <w:szCs w:val="22"/>
        </w:rPr>
      </w:pPr>
      <w:r w:rsidRPr="00BB134C">
        <w:rPr>
          <w:rFonts w:ascii="Calibri" w:hAnsi="Calibri" w:cs="Arial"/>
          <w:bCs/>
          <w:sz w:val="22"/>
          <w:szCs w:val="22"/>
        </w:rPr>
        <w:t>-wskaźnik płynności krótkoterminowej wynosi 2,05x,</w:t>
      </w:r>
    </w:p>
    <w:p w:rsidR="009870BB" w:rsidRPr="00BB134C" w:rsidRDefault="009870BB" w:rsidP="009870BB">
      <w:pPr>
        <w:spacing w:line="276" w:lineRule="auto"/>
        <w:ind w:left="-567"/>
        <w:jc w:val="both"/>
        <w:rPr>
          <w:rFonts w:ascii="Calibri" w:hAnsi="Calibri" w:cs="Arial"/>
          <w:bCs/>
          <w:sz w:val="22"/>
          <w:szCs w:val="22"/>
        </w:rPr>
      </w:pPr>
      <w:r w:rsidRPr="00BB134C">
        <w:rPr>
          <w:rFonts w:ascii="Calibri" w:hAnsi="Calibri" w:cs="Arial"/>
          <w:bCs/>
          <w:sz w:val="22"/>
          <w:szCs w:val="22"/>
        </w:rPr>
        <w:t>-wskaźnik pokrycia aktywów niepłynnych funduszami własnymi wynosi 2,61x,</w:t>
      </w:r>
    </w:p>
    <w:p w:rsidR="009870BB" w:rsidRPr="00BB134C" w:rsidRDefault="009870BB" w:rsidP="009870BB">
      <w:pPr>
        <w:spacing w:line="276" w:lineRule="auto"/>
        <w:ind w:left="-567"/>
        <w:jc w:val="both"/>
        <w:rPr>
          <w:rFonts w:ascii="Calibri" w:hAnsi="Calibri" w:cs="Arial"/>
          <w:bCs/>
          <w:sz w:val="22"/>
          <w:szCs w:val="22"/>
        </w:rPr>
      </w:pPr>
      <w:r w:rsidRPr="00BB134C">
        <w:rPr>
          <w:rFonts w:ascii="Calibri" w:hAnsi="Calibri" w:cs="Arial"/>
          <w:bCs/>
          <w:sz w:val="22"/>
          <w:szCs w:val="22"/>
        </w:rPr>
        <w:t>-wskaźnik pokrycia aktywów niepłynnych i aktywów o ograniczonej płynności funduszami własnymi i środkami obcymi stabilnymi wynosi 1,08x,</w:t>
      </w:r>
    </w:p>
    <w:p w:rsidR="009870BB" w:rsidRPr="00BB134C" w:rsidRDefault="009870BB" w:rsidP="009870BB">
      <w:pPr>
        <w:spacing w:line="276" w:lineRule="auto"/>
        <w:ind w:left="-567"/>
        <w:jc w:val="both"/>
        <w:rPr>
          <w:rFonts w:ascii="Calibri" w:hAnsi="Calibri" w:cs="Arial"/>
          <w:bCs/>
          <w:sz w:val="22"/>
          <w:szCs w:val="22"/>
        </w:rPr>
      </w:pPr>
      <w:r w:rsidRPr="00BB134C">
        <w:rPr>
          <w:rFonts w:ascii="Calibri" w:hAnsi="Calibri" w:cs="Arial"/>
          <w:bCs/>
          <w:sz w:val="22"/>
          <w:szCs w:val="22"/>
        </w:rPr>
        <w:t>- luka płynności krótkoterminowej jest na poziomie 76,164 mln PLN.</w:t>
      </w:r>
    </w:p>
    <w:p w:rsidR="009870BB" w:rsidRDefault="009870BB" w:rsidP="00CE2571">
      <w:pPr>
        <w:tabs>
          <w:tab w:val="left" w:pos="6960"/>
        </w:tabs>
        <w:ind w:left="-510"/>
        <w:rPr>
          <w:rFonts w:asciiTheme="minorHAnsi" w:hAnsiTheme="minorHAnsi" w:cs="Arial"/>
          <w:sz w:val="26"/>
          <w:szCs w:val="26"/>
        </w:rPr>
      </w:pPr>
    </w:p>
    <w:p w:rsidR="00BB134C" w:rsidRDefault="00BB134C" w:rsidP="00E1453C">
      <w:pPr>
        <w:framePr w:w="10513" w:hSpace="141" w:wrap="around" w:vAnchor="text" w:hAnchor="page" w:x="805" w:y="145"/>
        <w:ind w:left="720"/>
        <w:jc w:val="both"/>
        <w:rPr>
          <w:rFonts w:ascii="Calibri" w:hAnsi="Calibri" w:cs="Arial"/>
          <w:bCs/>
          <w:sz w:val="20"/>
          <w:szCs w:val="20"/>
        </w:rPr>
      </w:pPr>
    </w:p>
    <w:p w:rsidR="00BB134C" w:rsidRDefault="00BB134C" w:rsidP="00CE2571">
      <w:pPr>
        <w:tabs>
          <w:tab w:val="left" w:pos="6960"/>
        </w:tabs>
        <w:ind w:left="-510"/>
        <w:rPr>
          <w:rFonts w:asciiTheme="minorHAnsi" w:hAnsiTheme="minorHAnsi" w:cs="Arial"/>
          <w:sz w:val="26"/>
          <w:szCs w:val="26"/>
        </w:rPr>
      </w:pPr>
    </w:p>
    <w:p w:rsidR="00CF2B28" w:rsidRDefault="00CF2B28">
      <w:pPr>
        <w:rPr>
          <w:rFonts w:asciiTheme="minorHAnsi" w:hAnsiTheme="minorHAnsi" w:cs="Arial"/>
          <w:sz w:val="20"/>
          <w:szCs w:val="20"/>
        </w:rPr>
      </w:pPr>
      <w:r>
        <w:rPr>
          <w:rFonts w:asciiTheme="minorHAnsi" w:hAnsiTheme="minorHAnsi" w:cs="Arial"/>
          <w:sz w:val="20"/>
          <w:szCs w:val="20"/>
        </w:rPr>
        <w:br w:type="page"/>
      </w:r>
    </w:p>
    <w:p w:rsidR="00BB134C" w:rsidRPr="00636E50" w:rsidRDefault="00BB134C" w:rsidP="00636E50">
      <w:pPr>
        <w:pStyle w:val="Nagwek1"/>
      </w:pPr>
      <w:bookmarkStart w:id="11" w:name="_Toc368572361"/>
      <w:r w:rsidRPr="00636E50">
        <w:lastRenderedPageBreak/>
        <w:t>WARSZAWSKI BANK SPÓŁDZIELCZY</w:t>
      </w:r>
      <w:bookmarkEnd w:id="11"/>
    </w:p>
    <w:p w:rsidR="00BB134C" w:rsidRPr="00366A2D" w:rsidRDefault="00BB134C" w:rsidP="00BB134C">
      <w:pPr>
        <w:tabs>
          <w:tab w:val="left" w:pos="6960"/>
        </w:tabs>
        <w:ind w:left="-510"/>
        <w:rPr>
          <w:rFonts w:asciiTheme="minorHAnsi" w:hAnsiTheme="minorHAnsi" w:cs="Arial"/>
          <w:sz w:val="22"/>
          <w:szCs w:val="22"/>
        </w:rPr>
      </w:pPr>
    </w:p>
    <w:tbl>
      <w:tblPr>
        <w:tblW w:w="3979" w:type="dxa"/>
        <w:tblInd w:w="60" w:type="dxa"/>
        <w:tblCellMar>
          <w:left w:w="70" w:type="dxa"/>
          <w:right w:w="70" w:type="dxa"/>
        </w:tblCellMar>
        <w:tblLook w:val="04A0"/>
      </w:tblPr>
      <w:tblGrid>
        <w:gridCol w:w="2600"/>
        <w:gridCol w:w="546"/>
        <w:gridCol w:w="833"/>
      </w:tblGrid>
      <w:tr w:rsidR="009F57B5" w:rsidTr="009057F0">
        <w:trPr>
          <w:trHeight w:val="252"/>
        </w:trPr>
        <w:tc>
          <w:tcPr>
            <w:tcW w:w="2600" w:type="dxa"/>
            <w:tcBorders>
              <w:top w:val="single" w:sz="8" w:space="0" w:color="FFFFFF"/>
              <w:left w:val="single" w:sz="8" w:space="0" w:color="FFFFFF"/>
              <w:bottom w:val="single" w:sz="8" w:space="0" w:color="1EAA82"/>
              <w:right w:val="nil"/>
            </w:tcBorders>
            <w:shd w:val="clear" w:color="000000" w:fill="FFFFFF"/>
            <w:vAlign w:val="center"/>
            <w:hideMark/>
          </w:tcPr>
          <w:p w:rsidR="009F57B5" w:rsidRDefault="009F57B5" w:rsidP="009057F0">
            <w:pPr>
              <w:rPr>
                <w:rFonts w:ascii="Calibri" w:hAnsi="Calibri" w:cs="Calibri"/>
                <w:b/>
                <w:bCs/>
                <w:color w:val="000000"/>
                <w:sz w:val="18"/>
                <w:szCs w:val="18"/>
              </w:rPr>
            </w:pPr>
            <w:r>
              <w:rPr>
                <w:rFonts w:ascii="Calibri" w:hAnsi="Calibri" w:cs="Calibri"/>
                <w:b/>
                <w:bCs/>
                <w:color w:val="000000"/>
                <w:sz w:val="18"/>
                <w:szCs w:val="18"/>
              </w:rPr>
              <w:t>Podstawowe dane</w:t>
            </w:r>
          </w:p>
        </w:tc>
        <w:tc>
          <w:tcPr>
            <w:tcW w:w="546" w:type="dxa"/>
            <w:tcBorders>
              <w:top w:val="single" w:sz="8" w:space="0" w:color="FFFFFF"/>
              <w:left w:val="nil"/>
              <w:bottom w:val="single" w:sz="8" w:space="0" w:color="1EAA82"/>
              <w:right w:val="single" w:sz="8" w:space="0" w:color="FFFFFF"/>
            </w:tcBorders>
            <w:shd w:val="clear" w:color="000000" w:fill="FFFFFF"/>
            <w:vAlign w:val="center"/>
            <w:hideMark/>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2012 </w:t>
            </w:r>
          </w:p>
        </w:tc>
        <w:tc>
          <w:tcPr>
            <w:tcW w:w="833" w:type="dxa"/>
            <w:tcBorders>
              <w:top w:val="single" w:sz="8" w:space="0" w:color="FFFFFF"/>
              <w:left w:val="nil"/>
              <w:bottom w:val="single" w:sz="8" w:space="0" w:color="1EAA82"/>
              <w:right w:val="single" w:sz="8" w:space="0" w:color="FFFFFF"/>
            </w:tcBorders>
            <w:shd w:val="clear" w:color="000000" w:fill="FFFFFF"/>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1H’13</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Suma bilansowa [mln PLN]</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651</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691</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Kapitały własne [mln PLN]</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52</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56</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 xml:space="preserve">Współczynnik wypłacalności [%]                      </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11,5</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12,4</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C/I [%]</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53,1</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55,7</w:t>
            </w:r>
          </w:p>
        </w:tc>
      </w:tr>
    </w:tbl>
    <w:p w:rsidR="009F57B5" w:rsidRPr="00366A2D" w:rsidRDefault="009F57B5" w:rsidP="00BB134C">
      <w:pPr>
        <w:tabs>
          <w:tab w:val="left" w:pos="6960"/>
        </w:tabs>
        <w:ind w:left="-510"/>
        <w:rPr>
          <w:rFonts w:asciiTheme="minorHAnsi" w:hAnsiTheme="minorHAnsi" w:cs="Arial"/>
          <w:sz w:val="22"/>
          <w:szCs w:val="22"/>
        </w:rPr>
      </w:pPr>
    </w:p>
    <w:p w:rsidR="00BB134C" w:rsidRPr="00BB134C" w:rsidRDefault="00BB134C" w:rsidP="00BB134C">
      <w:pPr>
        <w:tabs>
          <w:tab w:val="left" w:pos="6960"/>
        </w:tabs>
        <w:spacing w:line="276" w:lineRule="auto"/>
        <w:ind w:left="-510"/>
        <w:jc w:val="both"/>
        <w:rPr>
          <w:rFonts w:ascii="Calibri" w:hAnsi="Calibri" w:cs="Arial"/>
          <w:bCs/>
          <w:sz w:val="22"/>
          <w:szCs w:val="22"/>
        </w:rPr>
      </w:pPr>
      <w:r w:rsidRPr="00BB134C">
        <w:rPr>
          <w:rFonts w:ascii="Calibri" w:hAnsi="Calibri" w:cs="Arial"/>
          <w:b/>
          <w:bCs/>
          <w:sz w:val="22"/>
          <w:szCs w:val="22"/>
        </w:rPr>
        <w:t xml:space="preserve">Wyniki lepsze od planu. </w:t>
      </w:r>
      <w:r w:rsidRPr="00BB134C">
        <w:rPr>
          <w:rFonts w:ascii="Calibri" w:hAnsi="Calibri" w:cs="Arial"/>
          <w:bCs/>
          <w:sz w:val="22"/>
          <w:szCs w:val="22"/>
        </w:rPr>
        <w:t>Warszawski Bank Spółdzielczy w 1H’13 wypracował 15,0 mln PLN zysku z działalności bankowej i 4,4 mln PLN zysku netto.</w:t>
      </w:r>
    </w:p>
    <w:p w:rsidR="00BB134C" w:rsidRDefault="00BB134C" w:rsidP="00BB134C">
      <w:pPr>
        <w:tabs>
          <w:tab w:val="left" w:pos="6960"/>
        </w:tabs>
        <w:ind w:left="-510"/>
        <w:rPr>
          <w:rFonts w:asciiTheme="minorHAnsi" w:hAnsiTheme="minorHAnsi" w:cs="Arial"/>
          <w:sz w:val="26"/>
          <w:szCs w:val="26"/>
        </w:rPr>
      </w:pPr>
      <w:r>
        <w:rPr>
          <w:rFonts w:asciiTheme="minorHAnsi" w:hAnsiTheme="minorHAnsi" w:cs="Arial"/>
          <w:noProof/>
          <w:sz w:val="26"/>
          <w:szCs w:val="26"/>
        </w:rPr>
        <w:drawing>
          <wp:anchor distT="0" distB="0" distL="114300" distR="114300" simplePos="0" relativeHeight="251657728" behindDoc="1" locked="0" layoutInCell="1" allowOverlap="1">
            <wp:simplePos x="0" y="0"/>
            <wp:positionH relativeFrom="column">
              <wp:posOffset>3143885</wp:posOffset>
            </wp:positionH>
            <wp:positionV relativeFrom="paragraph">
              <wp:posOffset>86995</wp:posOffset>
            </wp:positionV>
            <wp:extent cx="3457575" cy="2124075"/>
            <wp:effectExtent l="19050" t="0" r="9525" b="0"/>
            <wp:wrapNone/>
            <wp:docPr id="30"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srcRect/>
                    <a:stretch>
                      <a:fillRect/>
                    </a:stretch>
                  </pic:blipFill>
                  <pic:spPr bwMode="auto">
                    <a:xfrm>
                      <a:off x="0" y="0"/>
                      <a:ext cx="3457575" cy="2124075"/>
                    </a:xfrm>
                    <a:prstGeom prst="rect">
                      <a:avLst/>
                    </a:prstGeom>
                    <a:noFill/>
                    <a:ln w="9525">
                      <a:noFill/>
                      <a:miter lim="800000"/>
                      <a:headEnd/>
                      <a:tailEnd/>
                    </a:ln>
                  </pic:spPr>
                </pic:pic>
              </a:graphicData>
            </a:graphic>
          </wp:anchor>
        </w:drawing>
      </w:r>
      <w:r>
        <w:rPr>
          <w:rFonts w:asciiTheme="minorHAnsi" w:hAnsiTheme="minorHAnsi" w:cs="Arial"/>
          <w:noProof/>
          <w:sz w:val="26"/>
          <w:szCs w:val="26"/>
        </w:rPr>
        <w:drawing>
          <wp:anchor distT="0" distB="0" distL="114300" distR="114300" simplePos="0" relativeHeight="251658752" behindDoc="1" locked="0" layoutInCell="1" allowOverlap="1">
            <wp:simplePos x="0" y="0"/>
            <wp:positionH relativeFrom="column">
              <wp:posOffset>-380365</wp:posOffset>
            </wp:positionH>
            <wp:positionV relativeFrom="paragraph">
              <wp:posOffset>115570</wp:posOffset>
            </wp:positionV>
            <wp:extent cx="3524250" cy="2095500"/>
            <wp:effectExtent l="19050" t="0" r="0" b="0"/>
            <wp:wrapNone/>
            <wp:docPr id="29"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srcRect/>
                    <a:stretch>
                      <a:fillRect/>
                    </a:stretch>
                  </pic:blipFill>
                  <pic:spPr bwMode="auto">
                    <a:xfrm>
                      <a:off x="0" y="0"/>
                      <a:ext cx="3524250" cy="2095500"/>
                    </a:xfrm>
                    <a:prstGeom prst="rect">
                      <a:avLst/>
                    </a:prstGeom>
                    <a:noFill/>
                    <a:ln w="9525">
                      <a:noFill/>
                      <a:miter lim="800000"/>
                      <a:headEnd/>
                      <a:tailEnd/>
                    </a:ln>
                  </pic:spPr>
                </pic:pic>
              </a:graphicData>
            </a:graphic>
          </wp:anchor>
        </w:drawing>
      </w:r>
    </w:p>
    <w:p w:rsidR="00BB134C" w:rsidRDefault="00BB134C" w:rsidP="00BB134C">
      <w:pPr>
        <w:tabs>
          <w:tab w:val="left" w:pos="6960"/>
        </w:tabs>
        <w:ind w:left="-510"/>
        <w:rPr>
          <w:rFonts w:asciiTheme="minorHAnsi" w:hAnsiTheme="minorHAnsi" w:cs="Arial"/>
          <w:sz w:val="26"/>
          <w:szCs w:val="26"/>
        </w:rPr>
      </w:pPr>
    </w:p>
    <w:p w:rsidR="00BB134C" w:rsidRDefault="00BB134C" w:rsidP="00BB134C">
      <w:pPr>
        <w:tabs>
          <w:tab w:val="left" w:pos="6960"/>
        </w:tabs>
        <w:ind w:left="-510"/>
        <w:rPr>
          <w:rFonts w:asciiTheme="minorHAnsi" w:hAnsiTheme="minorHAnsi" w:cs="Arial"/>
          <w:sz w:val="26"/>
          <w:szCs w:val="26"/>
        </w:rPr>
      </w:pPr>
    </w:p>
    <w:p w:rsidR="00BB134C" w:rsidRDefault="00BB134C" w:rsidP="00BB134C">
      <w:pPr>
        <w:tabs>
          <w:tab w:val="left" w:pos="6960"/>
        </w:tabs>
        <w:ind w:left="-510"/>
        <w:rPr>
          <w:rFonts w:asciiTheme="minorHAnsi" w:hAnsiTheme="minorHAnsi" w:cs="Arial"/>
          <w:sz w:val="26"/>
          <w:szCs w:val="26"/>
        </w:rPr>
      </w:pPr>
    </w:p>
    <w:p w:rsidR="00BB134C" w:rsidRDefault="00BB134C" w:rsidP="00BB134C">
      <w:pPr>
        <w:tabs>
          <w:tab w:val="left" w:pos="6960"/>
        </w:tabs>
        <w:ind w:left="-510"/>
        <w:rPr>
          <w:rFonts w:asciiTheme="minorHAnsi" w:hAnsiTheme="minorHAnsi" w:cs="Arial"/>
          <w:sz w:val="26"/>
          <w:szCs w:val="26"/>
        </w:rPr>
      </w:pPr>
    </w:p>
    <w:p w:rsidR="00BB134C" w:rsidRDefault="00BB134C" w:rsidP="00BB134C">
      <w:pPr>
        <w:tabs>
          <w:tab w:val="left" w:pos="6960"/>
        </w:tabs>
        <w:ind w:left="-510"/>
        <w:rPr>
          <w:rFonts w:asciiTheme="minorHAnsi" w:hAnsiTheme="minorHAnsi" w:cs="Arial"/>
          <w:sz w:val="26"/>
          <w:szCs w:val="26"/>
        </w:rPr>
      </w:pPr>
    </w:p>
    <w:p w:rsidR="00BB134C" w:rsidRDefault="00BB134C" w:rsidP="00BB134C">
      <w:pPr>
        <w:tabs>
          <w:tab w:val="left" w:pos="6960"/>
        </w:tabs>
        <w:ind w:left="-510"/>
        <w:rPr>
          <w:rFonts w:asciiTheme="minorHAnsi" w:hAnsiTheme="minorHAnsi" w:cs="Arial"/>
          <w:sz w:val="26"/>
          <w:szCs w:val="26"/>
        </w:rPr>
      </w:pPr>
    </w:p>
    <w:p w:rsidR="00BB134C" w:rsidRDefault="00BB134C" w:rsidP="00BB134C">
      <w:pPr>
        <w:tabs>
          <w:tab w:val="left" w:pos="6960"/>
        </w:tabs>
        <w:ind w:left="-510"/>
        <w:rPr>
          <w:rFonts w:asciiTheme="minorHAnsi" w:hAnsiTheme="minorHAnsi" w:cs="Arial"/>
          <w:sz w:val="26"/>
          <w:szCs w:val="26"/>
        </w:rPr>
      </w:pPr>
    </w:p>
    <w:p w:rsidR="00BB134C" w:rsidRDefault="00BB134C" w:rsidP="00BB134C">
      <w:pPr>
        <w:tabs>
          <w:tab w:val="left" w:pos="6960"/>
        </w:tabs>
        <w:ind w:left="-510"/>
        <w:rPr>
          <w:rFonts w:asciiTheme="minorHAnsi" w:hAnsiTheme="minorHAnsi" w:cs="Arial"/>
          <w:sz w:val="26"/>
          <w:szCs w:val="26"/>
        </w:rPr>
      </w:pPr>
    </w:p>
    <w:p w:rsidR="00BB134C" w:rsidRDefault="00BB134C" w:rsidP="00BB134C">
      <w:pPr>
        <w:tabs>
          <w:tab w:val="left" w:pos="6960"/>
        </w:tabs>
        <w:ind w:left="-510"/>
        <w:rPr>
          <w:rFonts w:asciiTheme="minorHAnsi" w:hAnsiTheme="minorHAnsi" w:cs="Arial"/>
          <w:sz w:val="26"/>
          <w:szCs w:val="26"/>
        </w:rPr>
      </w:pPr>
    </w:p>
    <w:p w:rsidR="00BB134C" w:rsidRDefault="00BB134C" w:rsidP="00BB134C">
      <w:pPr>
        <w:tabs>
          <w:tab w:val="left" w:pos="6960"/>
        </w:tabs>
        <w:ind w:left="-510"/>
        <w:rPr>
          <w:rFonts w:asciiTheme="minorHAnsi" w:hAnsiTheme="minorHAnsi" w:cs="Arial"/>
          <w:sz w:val="26"/>
          <w:szCs w:val="26"/>
        </w:rPr>
      </w:pPr>
    </w:p>
    <w:p w:rsidR="00BB134C" w:rsidRDefault="00BB134C" w:rsidP="00BB134C">
      <w:pPr>
        <w:tabs>
          <w:tab w:val="left" w:pos="6960"/>
        </w:tabs>
        <w:ind w:left="-510"/>
        <w:rPr>
          <w:rFonts w:asciiTheme="minorHAnsi" w:hAnsiTheme="minorHAnsi" w:cs="Arial"/>
          <w:sz w:val="26"/>
          <w:szCs w:val="26"/>
        </w:rPr>
      </w:pPr>
    </w:p>
    <w:p w:rsidR="009870BB" w:rsidRPr="00BB134C" w:rsidRDefault="009870BB" w:rsidP="009870BB">
      <w:pPr>
        <w:numPr>
          <w:ilvl w:val="0"/>
          <w:numId w:val="30"/>
        </w:numPr>
        <w:spacing w:line="276" w:lineRule="auto"/>
        <w:ind w:left="-567" w:firstLine="0"/>
        <w:jc w:val="both"/>
        <w:rPr>
          <w:rFonts w:ascii="Calibri" w:hAnsi="Calibri" w:cs="Arial"/>
          <w:bCs/>
          <w:sz w:val="22"/>
          <w:szCs w:val="22"/>
        </w:rPr>
      </w:pPr>
      <w:r w:rsidRPr="00BB134C">
        <w:rPr>
          <w:rFonts w:ascii="Calibri" w:hAnsi="Calibri" w:cs="Arial"/>
          <w:bCs/>
          <w:sz w:val="22"/>
          <w:szCs w:val="22"/>
        </w:rPr>
        <w:t xml:space="preserve">Negatywne tendencje w zakresie stóp procentowych zostały zneutralizowane przez wzrost akcji kredytowej o 5%. </w:t>
      </w:r>
      <w:r>
        <w:rPr>
          <w:rFonts w:ascii="Calibri" w:hAnsi="Calibri" w:cs="Arial"/>
          <w:bCs/>
          <w:sz w:val="22"/>
          <w:szCs w:val="22"/>
        </w:rPr>
        <w:br/>
      </w:r>
      <w:r w:rsidRPr="00BB134C">
        <w:rPr>
          <w:rFonts w:ascii="Calibri" w:hAnsi="Calibri" w:cs="Arial"/>
          <w:bCs/>
          <w:sz w:val="22"/>
          <w:szCs w:val="22"/>
        </w:rPr>
        <w:t xml:space="preserve">W efekcie przychody odsetkowe podobnej wielkości jak przed rokiem. </w:t>
      </w:r>
      <w:r w:rsidRPr="00BB134C">
        <w:rPr>
          <w:rFonts w:ascii="Calibri" w:hAnsi="Calibri" w:cs="Arial"/>
          <w:b/>
          <w:bCs/>
          <w:sz w:val="22"/>
          <w:szCs w:val="22"/>
        </w:rPr>
        <w:t xml:space="preserve">Marża odsetkowa netto znalazła się pod presją </w:t>
      </w:r>
      <w:r w:rsidRPr="00BB134C">
        <w:rPr>
          <w:rFonts w:ascii="Calibri" w:hAnsi="Calibri" w:cs="Arial"/>
          <w:bCs/>
          <w:sz w:val="22"/>
          <w:szCs w:val="22"/>
        </w:rPr>
        <w:t xml:space="preserve">i obniżyła się do 4,23%; </w:t>
      </w:r>
    </w:p>
    <w:p w:rsidR="009870BB" w:rsidRPr="00BB134C" w:rsidRDefault="009870BB" w:rsidP="009870BB">
      <w:pPr>
        <w:numPr>
          <w:ilvl w:val="0"/>
          <w:numId w:val="30"/>
        </w:numPr>
        <w:spacing w:line="276" w:lineRule="auto"/>
        <w:ind w:left="-567" w:firstLine="0"/>
        <w:jc w:val="both"/>
        <w:rPr>
          <w:rFonts w:ascii="Calibri" w:hAnsi="Calibri" w:cs="Arial"/>
          <w:bCs/>
          <w:sz w:val="22"/>
          <w:szCs w:val="22"/>
        </w:rPr>
      </w:pPr>
      <w:r w:rsidRPr="00BB134C">
        <w:rPr>
          <w:rFonts w:ascii="Calibri" w:hAnsi="Calibri" w:cs="Arial"/>
          <w:bCs/>
          <w:sz w:val="22"/>
          <w:szCs w:val="22"/>
        </w:rPr>
        <w:t xml:space="preserve">Wynik na działalności bankowej również był zbliżony do tego sprzed roku (niższy o 3,3%), co przy kontroli kosztów działania pozwoliło na stosunkowo </w:t>
      </w:r>
      <w:r w:rsidRPr="00BB134C">
        <w:rPr>
          <w:rFonts w:ascii="Calibri" w:hAnsi="Calibri" w:cs="Arial"/>
          <w:b/>
          <w:bCs/>
          <w:sz w:val="22"/>
          <w:szCs w:val="22"/>
        </w:rPr>
        <w:t xml:space="preserve">niewielkie obniżenie efektywności kosztowej banku </w:t>
      </w:r>
      <w:r w:rsidRPr="00BB134C">
        <w:rPr>
          <w:rFonts w:ascii="Calibri" w:hAnsi="Calibri" w:cs="Arial"/>
          <w:bCs/>
          <w:sz w:val="22"/>
          <w:szCs w:val="22"/>
        </w:rPr>
        <w:t>(relacja kosztów do dochodów wzrosła do 55,7% i korzystnie prezentuje się na tle sektora bankowości spółdzielczej);</w:t>
      </w:r>
    </w:p>
    <w:p w:rsidR="009870BB" w:rsidRPr="00BB134C" w:rsidRDefault="009870BB" w:rsidP="009870BB">
      <w:pPr>
        <w:numPr>
          <w:ilvl w:val="0"/>
          <w:numId w:val="30"/>
        </w:numPr>
        <w:spacing w:line="276" w:lineRule="auto"/>
        <w:ind w:left="-567" w:firstLine="0"/>
        <w:jc w:val="both"/>
        <w:rPr>
          <w:rFonts w:ascii="Calibri" w:hAnsi="Calibri" w:cs="Arial"/>
          <w:bCs/>
          <w:sz w:val="22"/>
          <w:szCs w:val="22"/>
        </w:rPr>
      </w:pPr>
      <w:r w:rsidRPr="00BB134C">
        <w:rPr>
          <w:rFonts w:ascii="Calibri" w:hAnsi="Calibri" w:cs="Arial"/>
          <w:b/>
          <w:bCs/>
          <w:sz w:val="22"/>
          <w:szCs w:val="22"/>
        </w:rPr>
        <w:t xml:space="preserve">Poprawa wyniku brutto to przede wszystkim </w:t>
      </w:r>
      <w:r w:rsidR="000E101A">
        <w:rPr>
          <w:rFonts w:ascii="Calibri" w:hAnsi="Calibri" w:cs="Arial"/>
          <w:b/>
          <w:bCs/>
          <w:sz w:val="22"/>
          <w:szCs w:val="22"/>
        </w:rPr>
        <w:t>skutek niższych kosztów ryzyka wynikających</w:t>
      </w:r>
      <w:r w:rsidRPr="00BB134C">
        <w:rPr>
          <w:rFonts w:ascii="Calibri" w:hAnsi="Calibri" w:cs="Arial"/>
          <w:b/>
          <w:bCs/>
          <w:sz w:val="22"/>
          <w:szCs w:val="22"/>
        </w:rPr>
        <w:t xml:space="preserve"> z niższych odpisów</w:t>
      </w:r>
      <w:r w:rsidRPr="00BB134C">
        <w:rPr>
          <w:rFonts w:ascii="Calibri" w:hAnsi="Calibri" w:cs="Arial"/>
          <w:bCs/>
          <w:sz w:val="22"/>
          <w:szCs w:val="22"/>
        </w:rPr>
        <w:t>;</w:t>
      </w:r>
    </w:p>
    <w:p w:rsidR="009870BB" w:rsidRPr="00BB134C" w:rsidRDefault="009870BB" w:rsidP="009870BB">
      <w:pPr>
        <w:numPr>
          <w:ilvl w:val="0"/>
          <w:numId w:val="30"/>
        </w:numPr>
        <w:spacing w:line="276" w:lineRule="auto"/>
        <w:ind w:left="-567" w:firstLine="0"/>
        <w:jc w:val="both"/>
        <w:rPr>
          <w:rFonts w:ascii="Calibri" w:hAnsi="Calibri" w:cs="Arial"/>
          <w:bCs/>
          <w:sz w:val="22"/>
          <w:szCs w:val="22"/>
        </w:rPr>
      </w:pPr>
      <w:r w:rsidRPr="00BB134C">
        <w:rPr>
          <w:rFonts w:ascii="Calibri" w:hAnsi="Calibri" w:cs="Arial"/>
          <w:b/>
          <w:bCs/>
          <w:sz w:val="22"/>
          <w:szCs w:val="22"/>
        </w:rPr>
        <w:t>Jakość portfela kredytowego jest na akceptowalnym poziomie</w:t>
      </w:r>
      <w:r w:rsidRPr="00BB134C">
        <w:rPr>
          <w:rFonts w:ascii="Calibri" w:hAnsi="Calibri" w:cs="Arial"/>
          <w:bCs/>
          <w:sz w:val="22"/>
          <w:szCs w:val="22"/>
        </w:rPr>
        <w:t xml:space="preserve"> i nie odbiega znacząco od średniej dla banków spółdzielczych (kredyty zagrożone w strukturze portfela stanowią ok. 6,7%);</w:t>
      </w:r>
    </w:p>
    <w:p w:rsidR="009870BB" w:rsidRPr="00BB134C" w:rsidRDefault="009870BB" w:rsidP="009870BB">
      <w:pPr>
        <w:numPr>
          <w:ilvl w:val="0"/>
          <w:numId w:val="30"/>
        </w:numPr>
        <w:spacing w:line="276" w:lineRule="auto"/>
        <w:ind w:left="-567" w:firstLine="0"/>
        <w:jc w:val="both"/>
        <w:rPr>
          <w:rFonts w:ascii="Calibri" w:hAnsi="Calibri" w:cs="Arial"/>
          <w:bCs/>
          <w:sz w:val="22"/>
          <w:szCs w:val="22"/>
        </w:rPr>
      </w:pPr>
      <w:r w:rsidRPr="00BB134C">
        <w:rPr>
          <w:rFonts w:ascii="Calibri" w:hAnsi="Calibri" w:cs="Arial"/>
          <w:b/>
          <w:bCs/>
          <w:sz w:val="22"/>
          <w:szCs w:val="22"/>
        </w:rPr>
        <w:t>Bank wzmocnił swoją bazę kapitałową</w:t>
      </w:r>
      <w:r w:rsidRPr="00BB134C">
        <w:rPr>
          <w:rFonts w:ascii="Calibri" w:hAnsi="Calibri" w:cs="Arial"/>
          <w:bCs/>
          <w:sz w:val="22"/>
          <w:szCs w:val="22"/>
        </w:rPr>
        <w:t xml:space="preserve"> i współczynnik wypłacalności ukształtował się na poziomie 12,38%, czyli poziomie umożliwiającym dalszy rozwój banku;</w:t>
      </w:r>
    </w:p>
    <w:p w:rsidR="009870BB" w:rsidRPr="00BB134C" w:rsidRDefault="009870BB" w:rsidP="009870BB">
      <w:pPr>
        <w:pStyle w:val="Akapitzlist"/>
        <w:numPr>
          <w:ilvl w:val="0"/>
          <w:numId w:val="30"/>
        </w:numPr>
        <w:tabs>
          <w:tab w:val="left" w:pos="-142"/>
        </w:tabs>
        <w:ind w:left="-567" w:firstLine="0"/>
        <w:jc w:val="both"/>
        <w:rPr>
          <w:rFonts w:asciiTheme="minorHAnsi" w:hAnsiTheme="minorHAnsi" w:cs="Arial"/>
        </w:rPr>
      </w:pPr>
      <w:r w:rsidRPr="00BB134C">
        <w:rPr>
          <w:rFonts w:cs="Arial"/>
          <w:bCs/>
        </w:rPr>
        <w:t>Po 1H’13 bank zrealizował w 66,8% swój całoroczny plan w zakresie wypracowanego zysku netto, do czego przyczyniło się lepsze wykonanie prognoz dotyczących wyniku odsetkowego. Wynik finansowy netto przewyższa planowany o ponad 29%.</w:t>
      </w:r>
    </w:p>
    <w:p w:rsidR="009870BB" w:rsidRDefault="009870BB" w:rsidP="00BB134C">
      <w:pPr>
        <w:tabs>
          <w:tab w:val="left" w:pos="6960"/>
        </w:tabs>
        <w:ind w:left="-510"/>
        <w:rPr>
          <w:rFonts w:asciiTheme="minorHAnsi" w:hAnsiTheme="minorHAnsi" w:cs="Arial"/>
          <w:sz w:val="26"/>
          <w:szCs w:val="26"/>
        </w:rPr>
      </w:pPr>
    </w:p>
    <w:p w:rsidR="00BB134C" w:rsidRDefault="00BB134C" w:rsidP="00BB134C">
      <w:pPr>
        <w:tabs>
          <w:tab w:val="left" w:pos="6960"/>
        </w:tabs>
        <w:ind w:left="-510"/>
        <w:rPr>
          <w:rFonts w:asciiTheme="minorHAnsi" w:hAnsiTheme="minorHAnsi" w:cs="Arial"/>
          <w:sz w:val="26"/>
          <w:szCs w:val="26"/>
        </w:rPr>
      </w:pPr>
    </w:p>
    <w:p w:rsidR="00BB134C" w:rsidRPr="00BB134C" w:rsidRDefault="00BB134C" w:rsidP="00BB134C">
      <w:pPr>
        <w:tabs>
          <w:tab w:val="left" w:pos="6960"/>
        </w:tabs>
        <w:ind w:left="-510"/>
        <w:rPr>
          <w:rFonts w:asciiTheme="minorHAnsi" w:hAnsiTheme="minorHAnsi" w:cs="Arial"/>
          <w:sz w:val="26"/>
          <w:szCs w:val="26"/>
        </w:rPr>
      </w:pPr>
    </w:p>
    <w:p w:rsidR="00CF2B28" w:rsidRPr="00BB134C" w:rsidRDefault="00CF2B28">
      <w:pPr>
        <w:rPr>
          <w:rFonts w:asciiTheme="minorHAnsi" w:hAnsiTheme="minorHAnsi" w:cs="Arial"/>
          <w:sz w:val="20"/>
          <w:szCs w:val="20"/>
        </w:rPr>
      </w:pPr>
      <w:r w:rsidRPr="00BB134C">
        <w:rPr>
          <w:rFonts w:asciiTheme="minorHAnsi" w:hAnsiTheme="minorHAnsi" w:cs="Arial"/>
          <w:sz w:val="20"/>
          <w:szCs w:val="20"/>
        </w:rPr>
        <w:br w:type="page"/>
      </w:r>
    </w:p>
    <w:p w:rsidR="00BB134C" w:rsidRPr="00636E50" w:rsidRDefault="00BB134C" w:rsidP="00636E50">
      <w:pPr>
        <w:pStyle w:val="Nagwek1"/>
        <w:rPr>
          <w:lang w:val="en-US"/>
        </w:rPr>
      </w:pPr>
      <w:bookmarkStart w:id="12" w:name="_Toc368572362"/>
      <w:r w:rsidRPr="00636E50">
        <w:rPr>
          <w:lang w:val="en-US"/>
        </w:rPr>
        <w:lastRenderedPageBreak/>
        <w:t>HEXABANK</w:t>
      </w:r>
      <w:bookmarkEnd w:id="12"/>
    </w:p>
    <w:p w:rsidR="00A241C1" w:rsidRPr="00366A2D" w:rsidRDefault="00A241C1" w:rsidP="00BB134C">
      <w:pPr>
        <w:tabs>
          <w:tab w:val="left" w:pos="6960"/>
        </w:tabs>
        <w:ind w:left="-510"/>
        <w:rPr>
          <w:rFonts w:asciiTheme="minorHAnsi" w:hAnsiTheme="minorHAnsi" w:cs="Arial"/>
          <w:sz w:val="22"/>
          <w:szCs w:val="22"/>
          <w:lang w:val="en-US"/>
        </w:rPr>
      </w:pPr>
    </w:p>
    <w:tbl>
      <w:tblPr>
        <w:tblW w:w="3979" w:type="dxa"/>
        <w:tblInd w:w="60" w:type="dxa"/>
        <w:tblCellMar>
          <w:left w:w="70" w:type="dxa"/>
          <w:right w:w="70" w:type="dxa"/>
        </w:tblCellMar>
        <w:tblLook w:val="04A0"/>
      </w:tblPr>
      <w:tblGrid>
        <w:gridCol w:w="2600"/>
        <w:gridCol w:w="546"/>
        <w:gridCol w:w="833"/>
      </w:tblGrid>
      <w:tr w:rsidR="009F57B5" w:rsidTr="009057F0">
        <w:trPr>
          <w:trHeight w:val="252"/>
        </w:trPr>
        <w:tc>
          <w:tcPr>
            <w:tcW w:w="2600" w:type="dxa"/>
            <w:tcBorders>
              <w:top w:val="single" w:sz="8" w:space="0" w:color="FFFFFF"/>
              <w:left w:val="single" w:sz="8" w:space="0" w:color="FFFFFF"/>
              <w:bottom w:val="single" w:sz="8" w:space="0" w:color="1EAA82"/>
              <w:right w:val="nil"/>
            </w:tcBorders>
            <w:shd w:val="clear" w:color="000000" w:fill="FFFFFF"/>
            <w:vAlign w:val="center"/>
            <w:hideMark/>
          </w:tcPr>
          <w:p w:rsidR="009F57B5" w:rsidRDefault="009F57B5" w:rsidP="009057F0">
            <w:pPr>
              <w:rPr>
                <w:rFonts w:ascii="Calibri" w:hAnsi="Calibri" w:cs="Calibri"/>
                <w:b/>
                <w:bCs/>
                <w:color w:val="000000"/>
                <w:sz w:val="18"/>
                <w:szCs w:val="18"/>
              </w:rPr>
            </w:pPr>
            <w:r>
              <w:rPr>
                <w:rFonts w:ascii="Calibri" w:hAnsi="Calibri" w:cs="Calibri"/>
                <w:b/>
                <w:bCs/>
                <w:color w:val="000000"/>
                <w:sz w:val="18"/>
                <w:szCs w:val="18"/>
              </w:rPr>
              <w:t>Podstawowe dane</w:t>
            </w:r>
          </w:p>
        </w:tc>
        <w:tc>
          <w:tcPr>
            <w:tcW w:w="546" w:type="dxa"/>
            <w:tcBorders>
              <w:top w:val="single" w:sz="8" w:space="0" w:color="FFFFFF"/>
              <w:left w:val="nil"/>
              <w:bottom w:val="single" w:sz="8" w:space="0" w:color="1EAA82"/>
              <w:right w:val="single" w:sz="8" w:space="0" w:color="FFFFFF"/>
            </w:tcBorders>
            <w:shd w:val="clear" w:color="000000" w:fill="FFFFFF"/>
            <w:vAlign w:val="center"/>
            <w:hideMark/>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2012 </w:t>
            </w:r>
          </w:p>
        </w:tc>
        <w:tc>
          <w:tcPr>
            <w:tcW w:w="833" w:type="dxa"/>
            <w:tcBorders>
              <w:top w:val="single" w:sz="8" w:space="0" w:color="FFFFFF"/>
              <w:left w:val="nil"/>
              <w:bottom w:val="single" w:sz="8" w:space="0" w:color="1EAA82"/>
              <w:right w:val="single" w:sz="8" w:space="0" w:color="FFFFFF"/>
            </w:tcBorders>
            <w:shd w:val="clear" w:color="000000" w:fill="FFFFFF"/>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1H’13</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Suma bilansowa [mln PLN]</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194</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213</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Kapitały własne [mln PLN]</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20</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21</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 xml:space="preserve">Współczynnik wypłacalności [%]                      </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11,5</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11,9</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C/I [%]</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59,1</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68,1</w:t>
            </w:r>
          </w:p>
        </w:tc>
      </w:tr>
    </w:tbl>
    <w:p w:rsidR="009F57B5" w:rsidRPr="00366A2D" w:rsidRDefault="009F57B5" w:rsidP="00BB134C">
      <w:pPr>
        <w:tabs>
          <w:tab w:val="left" w:pos="6960"/>
        </w:tabs>
        <w:ind w:left="-510"/>
        <w:rPr>
          <w:rFonts w:asciiTheme="minorHAnsi" w:hAnsiTheme="minorHAnsi" w:cs="Arial"/>
          <w:sz w:val="22"/>
          <w:szCs w:val="22"/>
          <w:lang w:val="en-US"/>
        </w:rPr>
      </w:pPr>
    </w:p>
    <w:p w:rsidR="00A241C1" w:rsidRPr="00A241C1" w:rsidRDefault="00A241C1" w:rsidP="00A241C1">
      <w:pPr>
        <w:tabs>
          <w:tab w:val="left" w:pos="6960"/>
        </w:tabs>
        <w:spacing w:line="276" w:lineRule="auto"/>
        <w:ind w:left="-510"/>
        <w:jc w:val="both"/>
        <w:rPr>
          <w:rFonts w:ascii="Calibri" w:hAnsi="Calibri" w:cs="Arial"/>
          <w:bCs/>
          <w:sz w:val="22"/>
          <w:szCs w:val="22"/>
        </w:rPr>
      </w:pPr>
      <w:r w:rsidRPr="00A241C1">
        <w:rPr>
          <w:rFonts w:ascii="Calibri" w:hAnsi="Calibri" w:cs="Arial"/>
          <w:b/>
          <w:bCs/>
          <w:sz w:val="22"/>
          <w:szCs w:val="22"/>
        </w:rPr>
        <w:t xml:space="preserve">Wzrost kosztów działania zaciążył na wyniku netto. </w:t>
      </w:r>
      <w:r w:rsidRPr="00A241C1">
        <w:rPr>
          <w:rFonts w:ascii="Calibri" w:hAnsi="Calibri" w:cs="Arial"/>
          <w:bCs/>
          <w:sz w:val="22"/>
          <w:szCs w:val="22"/>
        </w:rPr>
        <w:t>Hexa Bank wypracował w 1H’13 4,7 mln PLN zysku na działalności bankowej i 0,8 mln PLN zysku netto.</w:t>
      </w:r>
    </w:p>
    <w:p w:rsidR="00A241C1" w:rsidRDefault="00A241C1" w:rsidP="00BB134C">
      <w:pPr>
        <w:tabs>
          <w:tab w:val="left" w:pos="6960"/>
        </w:tabs>
        <w:ind w:left="-510"/>
        <w:rPr>
          <w:rFonts w:asciiTheme="minorHAnsi" w:hAnsiTheme="minorHAnsi" w:cs="Arial"/>
          <w:sz w:val="26"/>
          <w:szCs w:val="26"/>
        </w:rPr>
      </w:pPr>
      <w:r>
        <w:rPr>
          <w:rFonts w:asciiTheme="minorHAnsi" w:hAnsiTheme="minorHAnsi" w:cs="Arial"/>
          <w:noProof/>
          <w:sz w:val="26"/>
          <w:szCs w:val="26"/>
        </w:rPr>
        <w:drawing>
          <wp:anchor distT="0" distB="0" distL="114300" distR="114300" simplePos="0" relativeHeight="251674112" behindDoc="1" locked="0" layoutInCell="1" allowOverlap="1">
            <wp:simplePos x="0" y="0"/>
            <wp:positionH relativeFrom="column">
              <wp:posOffset>3153410</wp:posOffset>
            </wp:positionH>
            <wp:positionV relativeFrom="paragraph">
              <wp:posOffset>48895</wp:posOffset>
            </wp:positionV>
            <wp:extent cx="3457575" cy="2124075"/>
            <wp:effectExtent l="19050" t="0" r="9525" b="0"/>
            <wp:wrapNone/>
            <wp:docPr id="47"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cstate="print"/>
                    <a:srcRect/>
                    <a:stretch>
                      <a:fillRect/>
                    </a:stretch>
                  </pic:blipFill>
                  <pic:spPr bwMode="auto">
                    <a:xfrm>
                      <a:off x="0" y="0"/>
                      <a:ext cx="3457575" cy="2124075"/>
                    </a:xfrm>
                    <a:prstGeom prst="rect">
                      <a:avLst/>
                    </a:prstGeom>
                    <a:noFill/>
                    <a:ln w="9525">
                      <a:noFill/>
                      <a:miter lim="800000"/>
                      <a:headEnd/>
                      <a:tailEnd/>
                    </a:ln>
                  </pic:spPr>
                </pic:pic>
              </a:graphicData>
            </a:graphic>
          </wp:anchor>
        </w:drawing>
      </w:r>
      <w:r>
        <w:rPr>
          <w:rFonts w:asciiTheme="minorHAnsi" w:hAnsiTheme="minorHAnsi" w:cs="Arial"/>
          <w:noProof/>
          <w:sz w:val="26"/>
          <w:szCs w:val="26"/>
        </w:rPr>
        <w:drawing>
          <wp:anchor distT="0" distB="0" distL="114300" distR="114300" simplePos="0" relativeHeight="251675136" behindDoc="1" locked="0" layoutInCell="1" allowOverlap="1">
            <wp:simplePos x="0" y="0"/>
            <wp:positionH relativeFrom="column">
              <wp:posOffset>-380365</wp:posOffset>
            </wp:positionH>
            <wp:positionV relativeFrom="paragraph">
              <wp:posOffset>77470</wp:posOffset>
            </wp:positionV>
            <wp:extent cx="3524250" cy="2095500"/>
            <wp:effectExtent l="19050" t="0" r="0" b="0"/>
            <wp:wrapNone/>
            <wp:docPr id="46"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cstate="print"/>
                    <a:srcRect/>
                    <a:stretch>
                      <a:fillRect/>
                    </a:stretch>
                  </pic:blipFill>
                  <pic:spPr bwMode="auto">
                    <a:xfrm>
                      <a:off x="0" y="0"/>
                      <a:ext cx="3524250" cy="2095500"/>
                    </a:xfrm>
                    <a:prstGeom prst="rect">
                      <a:avLst/>
                    </a:prstGeom>
                    <a:noFill/>
                    <a:ln w="9525">
                      <a:noFill/>
                      <a:miter lim="800000"/>
                      <a:headEnd/>
                      <a:tailEnd/>
                    </a:ln>
                  </pic:spPr>
                </pic:pic>
              </a:graphicData>
            </a:graphic>
          </wp:anchor>
        </w:drawing>
      </w:r>
    </w:p>
    <w:p w:rsidR="00A241C1" w:rsidRDefault="00A241C1" w:rsidP="00BB134C">
      <w:pPr>
        <w:tabs>
          <w:tab w:val="left" w:pos="6960"/>
        </w:tabs>
        <w:ind w:left="-510"/>
        <w:rPr>
          <w:rFonts w:asciiTheme="minorHAnsi" w:hAnsiTheme="minorHAnsi" w:cs="Arial"/>
          <w:sz w:val="26"/>
          <w:szCs w:val="26"/>
        </w:rPr>
      </w:pPr>
    </w:p>
    <w:p w:rsidR="00A241C1" w:rsidRPr="00A241C1" w:rsidRDefault="00A241C1" w:rsidP="00BB134C">
      <w:pPr>
        <w:tabs>
          <w:tab w:val="left" w:pos="6960"/>
        </w:tabs>
        <w:ind w:left="-510"/>
        <w:rPr>
          <w:rFonts w:asciiTheme="minorHAnsi" w:hAnsiTheme="minorHAnsi" w:cs="Arial"/>
          <w:sz w:val="26"/>
          <w:szCs w:val="26"/>
        </w:rPr>
      </w:pPr>
    </w:p>
    <w:p w:rsidR="00BB134C" w:rsidRDefault="00BB134C" w:rsidP="00BB134C">
      <w:pPr>
        <w:tabs>
          <w:tab w:val="left" w:pos="6960"/>
        </w:tabs>
        <w:ind w:left="-510"/>
        <w:rPr>
          <w:rFonts w:asciiTheme="minorHAnsi" w:hAnsiTheme="minorHAnsi" w:cs="Arial"/>
          <w:sz w:val="26"/>
          <w:szCs w:val="26"/>
        </w:rPr>
      </w:pPr>
    </w:p>
    <w:p w:rsidR="00A241C1" w:rsidRDefault="00A241C1" w:rsidP="00BB134C">
      <w:pPr>
        <w:tabs>
          <w:tab w:val="left" w:pos="6960"/>
        </w:tabs>
        <w:ind w:left="-510"/>
        <w:rPr>
          <w:rFonts w:asciiTheme="minorHAnsi" w:hAnsiTheme="minorHAnsi" w:cs="Arial"/>
          <w:sz w:val="26"/>
          <w:szCs w:val="26"/>
        </w:rPr>
      </w:pPr>
    </w:p>
    <w:p w:rsidR="00A241C1" w:rsidRDefault="00A241C1" w:rsidP="00BB134C">
      <w:pPr>
        <w:tabs>
          <w:tab w:val="left" w:pos="6960"/>
        </w:tabs>
        <w:ind w:left="-510"/>
        <w:rPr>
          <w:rFonts w:asciiTheme="minorHAnsi" w:hAnsiTheme="minorHAnsi" w:cs="Arial"/>
          <w:sz w:val="26"/>
          <w:szCs w:val="26"/>
        </w:rPr>
      </w:pPr>
    </w:p>
    <w:p w:rsidR="00A241C1" w:rsidRDefault="00A241C1" w:rsidP="00BB134C">
      <w:pPr>
        <w:tabs>
          <w:tab w:val="left" w:pos="6960"/>
        </w:tabs>
        <w:ind w:left="-510"/>
        <w:rPr>
          <w:rFonts w:asciiTheme="minorHAnsi" w:hAnsiTheme="minorHAnsi" w:cs="Arial"/>
          <w:sz w:val="26"/>
          <w:szCs w:val="26"/>
        </w:rPr>
      </w:pPr>
    </w:p>
    <w:p w:rsidR="00A241C1" w:rsidRDefault="00A241C1" w:rsidP="00BB134C">
      <w:pPr>
        <w:tabs>
          <w:tab w:val="left" w:pos="6960"/>
        </w:tabs>
        <w:ind w:left="-510"/>
        <w:rPr>
          <w:rFonts w:asciiTheme="minorHAnsi" w:hAnsiTheme="minorHAnsi" w:cs="Arial"/>
          <w:sz w:val="26"/>
          <w:szCs w:val="26"/>
        </w:rPr>
      </w:pPr>
    </w:p>
    <w:p w:rsidR="00A241C1" w:rsidRDefault="00A241C1" w:rsidP="00BB134C">
      <w:pPr>
        <w:tabs>
          <w:tab w:val="left" w:pos="6960"/>
        </w:tabs>
        <w:ind w:left="-510"/>
        <w:rPr>
          <w:rFonts w:asciiTheme="minorHAnsi" w:hAnsiTheme="minorHAnsi" w:cs="Arial"/>
          <w:sz w:val="26"/>
          <w:szCs w:val="26"/>
        </w:rPr>
      </w:pPr>
    </w:p>
    <w:p w:rsidR="00A241C1" w:rsidRDefault="00A241C1" w:rsidP="00BB134C">
      <w:pPr>
        <w:tabs>
          <w:tab w:val="left" w:pos="6960"/>
        </w:tabs>
        <w:ind w:left="-510"/>
        <w:rPr>
          <w:rFonts w:asciiTheme="minorHAnsi" w:hAnsiTheme="minorHAnsi" w:cs="Arial"/>
          <w:sz w:val="26"/>
          <w:szCs w:val="26"/>
        </w:rPr>
      </w:pPr>
    </w:p>
    <w:p w:rsidR="00A241C1" w:rsidRDefault="00A241C1" w:rsidP="00BB134C">
      <w:pPr>
        <w:tabs>
          <w:tab w:val="left" w:pos="6960"/>
        </w:tabs>
        <w:ind w:left="-510"/>
        <w:rPr>
          <w:rFonts w:asciiTheme="minorHAnsi" w:hAnsiTheme="minorHAnsi" w:cs="Arial"/>
          <w:sz w:val="26"/>
          <w:szCs w:val="26"/>
        </w:rPr>
      </w:pPr>
    </w:p>
    <w:p w:rsidR="00A241C1" w:rsidRDefault="00A241C1" w:rsidP="00BB134C">
      <w:pPr>
        <w:tabs>
          <w:tab w:val="left" w:pos="6960"/>
        </w:tabs>
        <w:ind w:left="-510"/>
        <w:rPr>
          <w:rFonts w:asciiTheme="minorHAnsi" w:hAnsiTheme="minorHAnsi" w:cs="Arial"/>
          <w:sz w:val="26"/>
          <w:szCs w:val="26"/>
        </w:rPr>
      </w:pPr>
    </w:p>
    <w:p w:rsidR="009870BB" w:rsidRPr="00A241C1" w:rsidRDefault="009870BB" w:rsidP="009870BB">
      <w:pPr>
        <w:numPr>
          <w:ilvl w:val="0"/>
          <w:numId w:val="38"/>
        </w:numPr>
        <w:spacing w:line="276" w:lineRule="auto"/>
        <w:ind w:left="-567" w:firstLine="0"/>
        <w:jc w:val="both"/>
        <w:rPr>
          <w:rFonts w:ascii="Calibri" w:hAnsi="Calibri" w:cs="Arial"/>
          <w:bCs/>
          <w:sz w:val="22"/>
          <w:szCs w:val="22"/>
        </w:rPr>
      </w:pPr>
      <w:r w:rsidRPr="00A241C1">
        <w:rPr>
          <w:rFonts w:ascii="Calibri" w:hAnsi="Calibri" w:cs="Arial"/>
          <w:bCs/>
          <w:sz w:val="22"/>
          <w:szCs w:val="22"/>
        </w:rPr>
        <w:t xml:space="preserve">6-cio procentowy wzrost portfela kredytowego spowodował, że </w:t>
      </w:r>
      <w:r w:rsidRPr="00A241C1">
        <w:rPr>
          <w:rFonts w:ascii="Calibri" w:hAnsi="Calibri" w:cs="Arial"/>
          <w:b/>
          <w:bCs/>
          <w:sz w:val="22"/>
          <w:szCs w:val="22"/>
        </w:rPr>
        <w:t>przychody odsetkowe banku wzrosły</w:t>
      </w:r>
      <w:r w:rsidRPr="00A241C1">
        <w:rPr>
          <w:rFonts w:ascii="Calibri" w:hAnsi="Calibri" w:cs="Arial"/>
          <w:bCs/>
          <w:sz w:val="22"/>
          <w:szCs w:val="22"/>
        </w:rPr>
        <w:t xml:space="preserve"> mimo negatywnych zmian w zakresie stóp procentowych. Bankowi praktycznie udało się powtórzyć ubiegłoroczny (z 1H’12) wynik odsetkowy;</w:t>
      </w:r>
    </w:p>
    <w:p w:rsidR="009870BB" w:rsidRPr="00A241C1" w:rsidRDefault="009870BB" w:rsidP="009870BB">
      <w:pPr>
        <w:numPr>
          <w:ilvl w:val="0"/>
          <w:numId w:val="38"/>
        </w:numPr>
        <w:spacing w:line="276" w:lineRule="auto"/>
        <w:ind w:left="-567" w:firstLine="0"/>
        <w:jc w:val="both"/>
        <w:rPr>
          <w:rFonts w:ascii="Calibri" w:hAnsi="Calibri" w:cs="Arial"/>
          <w:bCs/>
          <w:sz w:val="22"/>
          <w:szCs w:val="22"/>
        </w:rPr>
      </w:pPr>
      <w:r w:rsidRPr="00A241C1">
        <w:rPr>
          <w:rFonts w:ascii="Calibri" w:hAnsi="Calibri" w:cs="Arial"/>
          <w:bCs/>
          <w:sz w:val="22"/>
          <w:szCs w:val="22"/>
        </w:rPr>
        <w:t xml:space="preserve">Przy lepszym wyniku prowizyjnym i niższej stracie na operacjach finansowych wynik na działalności bankowej uległ poprawie. Jednocześnie wyraźnie zwiększyły się koszty działania banku wobec czego </w:t>
      </w:r>
      <w:r w:rsidRPr="00A241C1">
        <w:rPr>
          <w:rFonts w:ascii="Calibri" w:hAnsi="Calibri" w:cs="Arial"/>
          <w:b/>
          <w:bCs/>
          <w:sz w:val="22"/>
          <w:szCs w:val="22"/>
        </w:rPr>
        <w:t>efektywność kosztowa uległa pogorszeniu</w:t>
      </w:r>
      <w:r w:rsidRPr="00A241C1">
        <w:rPr>
          <w:rFonts w:ascii="Calibri" w:hAnsi="Calibri" w:cs="Arial"/>
          <w:bCs/>
          <w:sz w:val="22"/>
          <w:szCs w:val="22"/>
        </w:rPr>
        <w:t xml:space="preserve"> (relacja kosztów do dochodów sięga 68%);</w:t>
      </w:r>
    </w:p>
    <w:p w:rsidR="009870BB" w:rsidRPr="00A241C1" w:rsidRDefault="009870BB" w:rsidP="009870BB">
      <w:pPr>
        <w:numPr>
          <w:ilvl w:val="0"/>
          <w:numId w:val="38"/>
        </w:numPr>
        <w:spacing w:line="276" w:lineRule="auto"/>
        <w:ind w:left="-567" w:firstLine="0"/>
        <w:jc w:val="both"/>
        <w:rPr>
          <w:rFonts w:ascii="Calibri" w:hAnsi="Calibri" w:cs="Arial"/>
          <w:bCs/>
          <w:sz w:val="22"/>
          <w:szCs w:val="22"/>
        </w:rPr>
      </w:pPr>
      <w:r w:rsidRPr="00A241C1">
        <w:rPr>
          <w:rFonts w:ascii="Calibri" w:hAnsi="Calibri" w:cs="Arial"/>
          <w:b/>
          <w:bCs/>
          <w:sz w:val="22"/>
          <w:szCs w:val="22"/>
        </w:rPr>
        <w:t>Bank prowadzi konserwatywną politykę kredytową</w:t>
      </w:r>
      <w:r w:rsidRPr="00A241C1">
        <w:rPr>
          <w:rFonts w:ascii="Calibri" w:hAnsi="Calibri" w:cs="Arial"/>
          <w:bCs/>
          <w:sz w:val="22"/>
          <w:szCs w:val="22"/>
        </w:rPr>
        <w:t>. Jakość portfela kredytowego jest wysoka (udział kredytów zagrożonych wynosi zaledwie 3,0%), a pokrycie kredytów zagrożonych rezerwami wynosi 56,5%;</w:t>
      </w:r>
    </w:p>
    <w:p w:rsidR="009870BB" w:rsidRPr="00A241C1" w:rsidRDefault="009870BB" w:rsidP="009870BB">
      <w:pPr>
        <w:pStyle w:val="Akapitzlist"/>
        <w:numPr>
          <w:ilvl w:val="0"/>
          <w:numId w:val="38"/>
        </w:numPr>
        <w:tabs>
          <w:tab w:val="left" w:pos="-142"/>
        </w:tabs>
        <w:ind w:left="-567" w:firstLine="0"/>
        <w:jc w:val="both"/>
        <w:rPr>
          <w:rFonts w:cs="Arial"/>
        </w:rPr>
      </w:pPr>
      <w:r w:rsidRPr="00A241C1">
        <w:rPr>
          <w:rFonts w:cs="Arial"/>
          <w:b/>
          <w:bCs/>
        </w:rPr>
        <w:t>Poprawie uległ współczynnik wypłacalności</w:t>
      </w:r>
      <w:r w:rsidRPr="00A241C1">
        <w:rPr>
          <w:rFonts w:cs="Arial"/>
          <w:bCs/>
        </w:rPr>
        <w:t>, który na koniec 1H’13 wynosił 11,89%, czyli powyżej ustawowego minimum (8%) i nieco poniżej wartości rekomendowanej przez KNF (12%).</w:t>
      </w:r>
    </w:p>
    <w:p w:rsidR="009870BB" w:rsidRDefault="009870BB" w:rsidP="00BB134C">
      <w:pPr>
        <w:tabs>
          <w:tab w:val="left" w:pos="6960"/>
        </w:tabs>
        <w:ind w:left="-510"/>
        <w:rPr>
          <w:rFonts w:asciiTheme="minorHAnsi" w:hAnsiTheme="minorHAnsi" w:cs="Arial"/>
          <w:sz w:val="26"/>
          <w:szCs w:val="26"/>
        </w:rPr>
      </w:pPr>
    </w:p>
    <w:p w:rsidR="00BB134C" w:rsidRPr="00A241C1" w:rsidRDefault="00BB134C" w:rsidP="00BB134C">
      <w:pPr>
        <w:tabs>
          <w:tab w:val="left" w:pos="6960"/>
        </w:tabs>
        <w:ind w:left="-510"/>
        <w:rPr>
          <w:rFonts w:asciiTheme="minorHAnsi" w:hAnsiTheme="minorHAnsi" w:cs="Arial"/>
          <w:sz w:val="26"/>
          <w:szCs w:val="26"/>
        </w:rPr>
      </w:pPr>
    </w:p>
    <w:p w:rsidR="00CF2B28" w:rsidRPr="00A241C1" w:rsidRDefault="00CF2B28">
      <w:pPr>
        <w:rPr>
          <w:rFonts w:asciiTheme="minorHAnsi" w:hAnsiTheme="minorHAnsi" w:cs="Arial"/>
          <w:sz w:val="20"/>
          <w:szCs w:val="20"/>
        </w:rPr>
      </w:pPr>
      <w:r w:rsidRPr="00A241C1">
        <w:rPr>
          <w:rFonts w:asciiTheme="minorHAnsi" w:hAnsiTheme="minorHAnsi" w:cs="Arial"/>
          <w:sz w:val="20"/>
          <w:szCs w:val="20"/>
        </w:rPr>
        <w:br w:type="page"/>
      </w:r>
    </w:p>
    <w:p w:rsidR="00BB134C" w:rsidRPr="00636E50" w:rsidRDefault="00BB134C" w:rsidP="00636E50">
      <w:pPr>
        <w:pStyle w:val="Nagwek1"/>
      </w:pPr>
      <w:bookmarkStart w:id="13" w:name="_Toc368572363"/>
      <w:r w:rsidRPr="00636E50">
        <w:lastRenderedPageBreak/>
        <w:t>ESBANK RADOMSKO</w:t>
      </w:r>
      <w:bookmarkEnd w:id="13"/>
    </w:p>
    <w:p w:rsidR="00126454" w:rsidRPr="00366A2D" w:rsidRDefault="00126454" w:rsidP="00BB134C">
      <w:pPr>
        <w:tabs>
          <w:tab w:val="left" w:pos="6960"/>
        </w:tabs>
        <w:ind w:left="-510"/>
        <w:rPr>
          <w:rFonts w:asciiTheme="minorHAnsi" w:hAnsiTheme="minorHAnsi" w:cs="Arial"/>
          <w:sz w:val="22"/>
          <w:szCs w:val="22"/>
        </w:rPr>
      </w:pPr>
    </w:p>
    <w:tbl>
      <w:tblPr>
        <w:tblW w:w="3979" w:type="dxa"/>
        <w:tblInd w:w="60" w:type="dxa"/>
        <w:tblCellMar>
          <w:left w:w="70" w:type="dxa"/>
          <w:right w:w="70" w:type="dxa"/>
        </w:tblCellMar>
        <w:tblLook w:val="04A0"/>
      </w:tblPr>
      <w:tblGrid>
        <w:gridCol w:w="2600"/>
        <w:gridCol w:w="546"/>
        <w:gridCol w:w="833"/>
      </w:tblGrid>
      <w:tr w:rsidR="009F57B5" w:rsidTr="009057F0">
        <w:trPr>
          <w:trHeight w:val="252"/>
        </w:trPr>
        <w:tc>
          <w:tcPr>
            <w:tcW w:w="2600" w:type="dxa"/>
            <w:tcBorders>
              <w:top w:val="single" w:sz="8" w:space="0" w:color="FFFFFF"/>
              <w:left w:val="single" w:sz="8" w:space="0" w:color="FFFFFF"/>
              <w:bottom w:val="single" w:sz="8" w:space="0" w:color="1EAA82"/>
              <w:right w:val="nil"/>
            </w:tcBorders>
            <w:shd w:val="clear" w:color="000000" w:fill="FFFFFF"/>
            <w:vAlign w:val="center"/>
            <w:hideMark/>
          </w:tcPr>
          <w:p w:rsidR="009F57B5" w:rsidRDefault="009F57B5" w:rsidP="009057F0">
            <w:pPr>
              <w:rPr>
                <w:rFonts w:ascii="Calibri" w:hAnsi="Calibri" w:cs="Calibri"/>
                <w:b/>
                <w:bCs/>
                <w:color w:val="000000"/>
                <w:sz w:val="18"/>
                <w:szCs w:val="18"/>
              </w:rPr>
            </w:pPr>
            <w:r>
              <w:rPr>
                <w:rFonts w:ascii="Calibri" w:hAnsi="Calibri" w:cs="Calibri"/>
                <w:b/>
                <w:bCs/>
                <w:color w:val="000000"/>
                <w:sz w:val="18"/>
                <w:szCs w:val="18"/>
              </w:rPr>
              <w:t>Podstawowe dane</w:t>
            </w:r>
          </w:p>
        </w:tc>
        <w:tc>
          <w:tcPr>
            <w:tcW w:w="546" w:type="dxa"/>
            <w:tcBorders>
              <w:top w:val="single" w:sz="8" w:space="0" w:color="FFFFFF"/>
              <w:left w:val="nil"/>
              <w:bottom w:val="single" w:sz="8" w:space="0" w:color="1EAA82"/>
              <w:right w:val="single" w:sz="8" w:space="0" w:color="FFFFFF"/>
            </w:tcBorders>
            <w:shd w:val="clear" w:color="000000" w:fill="FFFFFF"/>
            <w:vAlign w:val="center"/>
            <w:hideMark/>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2012 </w:t>
            </w:r>
          </w:p>
        </w:tc>
        <w:tc>
          <w:tcPr>
            <w:tcW w:w="833" w:type="dxa"/>
            <w:tcBorders>
              <w:top w:val="single" w:sz="8" w:space="0" w:color="FFFFFF"/>
              <w:left w:val="nil"/>
              <w:bottom w:val="single" w:sz="8" w:space="0" w:color="1EAA82"/>
              <w:right w:val="single" w:sz="8" w:space="0" w:color="FFFFFF"/>
            </w:tcBorders>
            <w:shd w:val="clear" w:color="000000" w:fill="FFFFFF"/>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1H’13</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Suma bilansowa [mln PLN]</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616</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582</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Kapitały własne [mln PLN]</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41</w:t>
            </w:r>
          </w:p>
        </w:tc>
        <w:tc>
          <w:tcPr>
            <w:tcW w:w="833" w:type="dxa"/>
            <w:tcBorders>
              <w:top w:val="nil"/>
              <w:left w:val="nil"/>
              <w:bottom w:val="nil"/>
              <w:right w:val="nil"/>
            </w:tcBorders>
            <w:shd w:val="clear" w:color="000000" w:fill="FFFFFF"/>
          </w:tcPr>
          <w:p w:rsidR="009F57B5" w:rsidRDefault="00E218C6" w:rsidP="009057F0">
            <w:pPr>
              <w:jc w:val="right"/>
              <w:rPr>
                <w:rFonts w:ascii="Calibri" w:hAnsi="Calibri" w:cs="Calibri"/>
                <w:color w:val="000000"/>
                <w:sz w:val="18"/>
                <w:szCs w:val="18"/>
              </w:rPr>
            </w:pPr>
            <w:r>
              <w:rPr>
                <w:rFonts w:ascii="Calibri" w:hAnsi="Calibri" w:cs="Calibri"/>
                <w:color w:val="000000"/>
                <w:sz w:val="18"/>
                <w:szCs w:val="18"/>
              </w:rPr>
              <w:t>42</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 xml:space="preserve">Współczynnik wypłacalności [%]                      </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12,0</w:t>
            </w:r>
          </w:p>
        </w:tc>
        <w:tc>
          <w:tcPr>
            <w:tcW w:w="833" w:type="dxa"/>
            <w:tcBorders>
              <w:top w:val="nil"/>
              <w:left w:val="nil"/>
              <w:bottom w:val="nil"/>
              <w:right w:val="nil"/>
            </w:tcBorders>
            <w:shd w:val="clear" w:color="000000" w:fill="FFFFFF"/>
          </w:tcPr>
          <w:p w:rsidR="009F57B5" w:rsidRDefault="00CA15AD" w:rsidP="009057F0">
            <w:pPr>
              <w:jc w:val="right"/>
              <w:rPr>
                <w:rFonts w:ascii="Calibri" w:hAnsi="Calibri" w:cs="Calibri"/>
                <w:color w:val="000000"/>
                <w:sz w:val="18"/>
                <w:szCs w:val="18"/>
              </w:rPr>
            </w:pPr>
            <w:r>
              <w:rPr>
                <w:rFonts w:ascii="Calibri" w:hAnsi="Calibri" w:cs="Calibri"/>
                <w:color w:val="000000"/>
                <w:sz w:val="18"/>
                <w:szCs w:val="18"/>
              </w:rPr>
              <w:t>11,8</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C/I [%]</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75,8</w:t>
            </w:r>
          </w:p>
        </w:tc>
        <w:tc>
          <w:tcPr>
            <w:tcW w:w="833" w:type="dxa"/>
            <w:tcBorders>
              <w:top w:val="nil"/>
              <w:left w:val="nil"/>
              <w:bottom w:val="nil"/>
              <w:right w:val="nil"/>
            </w:tcBorders>
            <w:shd w:val="clear" w:color="000000" w:fill="FFFFFF"/>
          </w:tcPr>
          <w:p w:rsidR="009F57B5" w:rsidRDefault="00CA15AD" w:rsidP="009057F0">
            <w:pPr>
              <w:jc w:val="right"/>
              <w:rPr>
                <w:rFonts w:ascii="Calibri" w:hAnsi="Calibri" w:cs="Calibri"/>
                <w:color w:val="000000"/>
                <w:sz w:val="18"/>
                <w:szCs w:val="18"/>
              </w:rPr>
            </w:pPr>
            <w:r>
              <w:rPr>
                <w:rFonts w:ascii="Calibri" w:hAnsi="Calibri" w:cs="Calibri"/>
                <w:color w:val="000000"/>
                <w:sz w:val="18"/>
                <w:szCs w:val="18"/>
              </w:rPr>
              <w:t>84,6</w:t>
            </w:r>
          </w:p>
        </w:tc>
      </w:tr>
    </w:tbl>
    <w:p w:rsidR="009F57B5" w:rsidRPr="00366A2D" w:rsidRDefault="009F57B5" w:rsidP="00BB134C">
      <w:pPr>
        <w:tabs>
          <w:tab w:val="left" w:pos="6960"/>
        </w:tabs>
        <w:ind w:left="-510"/>
        <w:rPr>
          <w:rFonts w:asciiTheme="minorHAnsi" w:hAnsiTheme="minorHAnsi" w:cs="Arial"/>
          <w:sz w:val="22"/>
          <w:szCs w:val="22"/>
        </w:rPr>
      </w:pPr>
    </w:p>
    <w:p w:rsidR="00126454" w:rsidRPr="00126454" w:rsidRDefault="00126454" w:rsidP="00126454">
      <w:pPr>
        <w:tabs>
          <w:tab w:val="left" w:pos="6960"/>
        </w:tabs>
        <w:spacing w:line="276" w:lineRule="auto"/>
        <w:ind w:left="-510"/>
        <w:rPr>
          <w:rFonts w:ascii="Calibri" w:hAnsi="Calibri" w:cs="Arial"/>
          <w:bCs/>
          <w:sz w:val="22"/>
          <w:szCs w:val="22"/>
        </w:rPr>
      </w:pPr>
      <w:r w:rsidRPr="00126454">
        <w:rPr>
          <w:rFonts w:ascii="Calibri" w:hAnsi="Calibri" w:cs="Arial"/>
          <w:b/>
          <w:bCs/>
          <w:sz w:val="22"/>
          <w:szCs w:val="22"/>
        </w:rPr>
        <w:t xml:space="preserve">Słabsze wyniki Esbanku. </w:t>
      </w:r>
      <w:r w:rsidRPr="00126454">
        <w:rPr>
          <w:rFonts w:ascii="Calibri" w:hAnsi="Calibri" w:cs="Arial"/>
          <w:bCs/>
          <w:sz w:val="22"/>
          <w:szCs w:val="22"/>
        </w:rPr>
        <w:t>Esbank wypracował 12,7 mln PLN zysku na działalności bankowej i 1,7 mln PLN zysku netto</w:t>
      </w:r>
      <w:r w:rsidR="009870BB">
        <w:rPr>
          <w:rFonts w:ascii="Calibri" w:hAnsi="Calibri" w:cs="Arial"/>
          <w:bCs/>
          <w:sz w:val="22"/>
          <w:szCs w:val="22"/>
        </w:rPr>
        <w:t>.</w:t>
      </w:r>
    </w:p>
    <w:p w:rsidR="00126454" w:rsidRDefault="00126454" w:rsidP="00BB134C">
      <w:pPr>
        <w:tabs>
          <w:tab w:val="left" w:pos="6960"/>
        </w:tabs>
        <w:ind w:left="-510"/>
        <w:rPr>
          <w:rFonts w:asciiTheme="minorHAnsi" w:hAnsiTheme="minorHAnsi" w:cs="Arial"/>
          <w:sz w:val="26"/>
          <w:szCs w:val="26"/>
        </w:rPr>
      </w:pPr>
    </w:p>
    <w:p w:rsidR="00126454" w:rsidRDefault="00126454" w:rsidP="00BB134C">
      <w:pPr>
        <w:tabs>
          <w:tab w:val="left" w:pos="6960"/>
        </w:tabs>
        <w:ind w:left="-510"/>
        <w:rPr>
          <w:rFonts w:asciiTheme="minorHAnsi" w:hAnsiTheme="minorHAnsi" w:cs="Arial"/>
          <w:sz w:val="26"/>
          <w:szCs w:val="26"/>
        </w:rPr>
      </w:pPr>
      <w:r w:rsidRPr="00126454">
        <w:rPr>
          <w:noProof/>
          <w:szCs w:val="26"/>
        </w:rPr>
        <w:drawing>
          <wp:anchor distT="0" distB="0" distL="114300" distR="114300" simplePos="0" relativeHeight="251660800" behindDoc="1" locked="0" layoutInCell="1" allowOverlap="1">
            <wp:simplePos x="0" y="0"/>
            <wp:positionH relativeFrom="column">
              <wp:posOffset>-380365</wp:posOffset>
            </wp:positionH>
            <wp:positionV relativeFrom="paragraph">
              <wp:posOffset>-635</wp:posOffset>
            </wp:positionV>
            <wp:extent cx="3524250" cy="2095500"/>
            <wp:effectExtent l="19050" t="0" r="0" b="0"/>
            <wp:wrapNone/>
            <wp:docPr id="33"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srcRect/>
                    <a:stretch>
                      <a:fillRect/>
                    </a:stretch>
                  </pic:blipFill>
                  <pic:spPr bwMode="auto">
                    <a:xfrm>
                      <a:off x="0" y="0"/>
                      <a:ext cx="3524250" cy="2095500"/>
                    </a:xfrm>
                    <a:prstGeom prst="rect">
                      <a:avLst/>
                    </a:prstGeom>
                    <a:noFill/>
                    <a:ln w="9525">
                      <a:noFill/>
                      <a:miter lim="800000"/>
                      <a:headEnd/>
                      <a:tailEnd/>
                    </a:ln>
                  </pic:spPr>
                </pic:pic>
              </a:graphicData>
            </a:graphic>
          </wp:anchor>
        </w:drawing>
      </w:r>
      <w:r w:rsidRPr="00126454">
        <w:rPr>
          <w:szCs w:val="26"/>
        </w:rPr>
        <w:t xml:space="preserve"> </w:t>
      </w:r>
      <w:r>
        <w:rPr>
          <w:noProof/>
          <w:szCs w:val="26"/>
        </w:rPr>
        <w:drawing>
          <wp:anchor distT="0" distB="0" distL="114300" distR="114300" simplePos="0" relativeHeight="251659776" behindDoc="1" locked="0" layoutInCell="1" allowOverlap="1">
            <wp:simplePos x="0" y="0"/>
            <wp:positionH relativeFrom="column">
              <wp:posOffset>3143885</wp:posOffset>
            </wp:positionH>
            <wp:positionV relativeFrom="paragraph">
              <wp:posOffset>2540</wp:posOffset>
            </wp:positionV>
            <wp:extent cx="3457575" cy="2133600"/>
            <wp:effectExtent l="19050" t="0" r="9525" b="0"/>
            <wp:wrapNone/>
            <wp:docPr id="32"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srcRect/>
                    <a:stretch>
                      <a:fillRect/>
                    </a:stretch>
                  </pic:blipFill>
                  <pic:spPr bwMode="auto">
                    <a:xfrm>
                      <a:off x="0" y="0"/>
                      <a:ext cx="3457575" cy="2133600"/>
                    </a:xfrm>
                    <a:prstGeom prst="rect">
                      <a:avLst/>
                    </a:prstGeom>
                    <a:noFill/>
                    <a:ln w="9525">
                      <a:noFill/>
                      <a:miter lim="800000"/>
                      <a:headEnd/>
                      <a:tailEnd/>
                    </a:ln>
                  </pic:spPr>
                </pic:pic>
              </a:graphicData>
            </a:graphic>
          </wp:anchor>
        </w:drawing>
      </w:r>
    </w:p>
    <w:p w:rsidR="00126454" w:rsidRDefault="00126454" w:rsidP="00BB134C">
      <w:pPr>
        <w:tabs>
          <w:tab w:val="left" w:pos="6960"/>
        </w:tabs>
        <w:ind w:left="-510"/>
        <w:rPr>
          <w:rFonts w:asciiTheme="minorHAnsi" w:hAnsiTheme="minorHAnsi" w:cs="Arial"/>
          <w:sz w:val="26"/>
          <w:szCs w:val="26"/>
        </w:rPr>
      </w:pPr>
    </w:p>
    <w:p w:rsidR="00126454" w:rsidRDefault="00126454" w:rsidP="00BB134C">
      <w:pPr>
        <w:tabs>
          <w:tab w:val="left" w:pos="6960"/>
        </w:tabs>
        <w:ind w:left="-510"/>
        <w:rPr>
          <w:rFonts w:asciiTheme="minorHAnsi" w:hAnsiTheme="minorHAnsi" w:cs="Arial"/>
          <w:sz w:val="26"/>
          <w:szCs w:val="26"/>
        </w:rPr>
      </w:pPr>
    </w:p>
    <w:p w:rsidR="00126454" w:rsidRDefault="00126454" w:rsidP="00BB134C">
      <w:pPr>
        <w:tabs>
          <w:tab w:val="left" w:pos="6960"/>
        </w:tabs>
        <w:ind w:left="-510"/>
        <w:rPr>
          <w:rFonts w:asciiTheme="minorHAnsi" w:hAnsiTheme="minorHAnsi" w:cs="Arial"/>
          <w:sz w:val="26"/>
          <w:szCs w:val="26"/>
        </w:rPr>
      </w:pPr>
    </w:p>
    <w:p w:rsidR="00126454" w:rsidRDefault="00126454" w:rsidP="00BB134C">
      <w:pPr>
        <w:tabs>
          <w:tab w:val="left" w:pos="6960"/>
        </w:tabs>
        <w:ind w:left="-510"/>
        <w:rPr>
          <w:rFonts w:asciiTheme="minorHAnsi" w:hAnsiTheme="minorHAnsi" w:cs="Arial"/>
          <w:sz w:val="26"/>
          <w:szCs w:val="26"/>
        </w:rPr>
      </w:pPr>
    </w:p>
    <w:p w:rsidR="00126454" w:rsidRDefault="00126454" w:rsidP="00BB134C">
      <w:pPr>
        <w:tabs>
          <w:tab w:val="left" w:pos="6960"/>
        </w:tabs>
        <w:ind w:left="-510"/>
        <w:rPr>
          <w:rFonts w:asciiTheme="minorHAnsi" w:hAnsiTheme="minorHAnsi" w:cs="Arial"/>
          <w:sz w:val="26"/>
          <w:szCs w:val="26"/>
        </w:rPr>
      </w:pPr>
    </w:p>
    <w:p w:rsidR="00126454" w:rsidRDefault="00126454" w:rsidP="00BB134C">
      <w:pPr>
        <w:tabs>
          <w:tab w:val="left" w:pos="6960"/>
        </w:tabs>
        <w:ind w:left="-510"/>
        <w:rPr>
          <w:rFonts w:asciiTheme="minorHAnsi" w:hAnsiTheme="minorHAnsi" w:cs="Arial"/>
          <w:sz w:val="26"/>
          <w:szCs w:val="26"/>
        </w:rPr>
      </w:pPr>
    </w:p>
    <w:p w:rsidR="00126454" w:rsidRDefault="00126454" w:rsidP="00BB134C">
      <w:pPr>
        <w:tabs>
          <w:tab w:val="left" w:pos="6960"/>
        </w:tabs>
        <w:ind w:left="-510"/>
        <w:rPr>
          <w:rFonts w:asciiTheme="minorHAnsi" w:hAnsiTheme="minorHAnsi" w:cs="Arial"/>
          <w:sz w:val="26"/>
          <w:szCs w:val="26"/>
        </w:rPr>
      </w:pPr>
    </w:p>
    <w:p w:rsidR="00126454" w:rsidRDefault="00126454" w:rsidP="00BB134C">
      <w:pPr>
        <w:tabs>
          <w:tab w:val="left" w:pos="6960"/>
        </w:tabs>
        <w:ind w:left="-510"/>
        <w:rPr>
          <w:rFonts w:asciiTheme="minorHAnsi" w:hAnsiTheme="minorHAnsi" w:cs="Arial"/>
          <w:sz w:val="26"/>
          <w:szCs w:val="26"/>
        </w:rPr>
      </w:pPr>
    </w:p>
    <w:p w:rsidR="00126454" w:rsidRDefault="00126454" w:rsidP="00BB134C">
      <w:pPr>
        <w:tabs>
          <w:tab w:val="left" w:pos="6960"/>
        </w:tabs>
        <w:ind w:left="-510"/>
        <w:rPr>
          <w:rFonts w:asciiTheme="minorHAnsi" w:hAnsiTheme="minorHAnsi" w:cs="Arial"/>
          <w:sz w:val="26"/>
          <w:szCs w:val="26"/>
        </w:rPr>
      </w:pPr>
    </w:p>
    <w:p w:rsidR="00126454" w:rsidRDefault="00126454" w:rsidP="00BB134C">
      <w:pPr>
        <w:tabs>
          <w:tab w:val="left" w:pos="6960"/>
        </w:tabs>
        <w:ind w:left="-510"/>
        <w:rPr>
          <w:rFonts w:asciiTheme="minorHAnsi" w:hAnsiTheme="minorHAnsi" w:cs="Arial"/>
          <w:sz w:val="26"/>
          <w:szCs w:val="26"/>
        </w:rPr>
      </w:pPr>
    </w:p>
    <w:p w:rsidR="009870BB" w:rsidRDefault="009870BB" w:rsidP="00BB134C">
      <w:pPr>
        <w:tabs>
          <w:tab w:val="left" w:pos="6960"/>
        </w:tabs>
        <w:ind w:left="-510"/>
        <w:rPr>
          <w:rFonts w:asciiTheme="minorHAnsi" w:hAnsiTheme="minorHAnsi" w:cs="Arial"/>
          <w:sz w:val="26"/>
          <w:szCs w:val="26"/>
        </w:rPr>
      </w:pPr>
    </w:p>
    <w:p w:rsidR="009870BB" w:rsidRPr="00126454" w:rsidRDefault="009870BB" w:rsidP="009870BB">
      <w:pPr>
        <w:numPr>
          <w:ilvl w:val="0"/>
          <w:numId w:val="31"/>
        </w:numPr>
        <w:spacing w:line="276" w:lineRule="auto"/>
        <w:ind w:left="-567" w:firstLine="0"/>
        <w:jc w:val="both"/>
        <w:rPr>
          <w:rFonts w:ascii="Calibri" w:hAnsi="Calibri" w:cs="Arial"/>
          <w:bCs/>
          <w:sz w:val="22"/>
          <w:szCs w:val="22"/>
        </w:rPr>
      </w:pPr>
      <w:r w:rsidRPr="00126454">
        <w:rPr>
          <w:rFonts w:ascii="Calibri" w:hAnsi="Calibri" w:cs="Arial"/>
          <w:bCs/>
          <w:sz w:val="22"/>
          <w:szCs w:val="22"/>
        </w:rPr>
        <w:t xml:space="preserve">Spadek przychodów odsetkowych to efekt obniżek stóp procentowych. Jeszcze dynamiczniej zmniejszyły się koszty odsetek, ale pomimo tego wynik odsetkowy obniżył się o ok. 1,0 mln PLN. </w:t>
      </w:r>
      <w:r w:rsidRPr="00126454">
        <w:rPr>
          <w:rFonts w:ascii="Calibri" w:hAnsi="Calibri" w:cs="Arial"/>
          <w:b/>
          <w:bCs/>
          <w:sz w:val="22"/>
          <w:szCs w:val="22"/>
        </w:rPr>
        <w:t>Marża odsetkowa netto spadła w 1H’13 o ok. 0,1 p.p. do 4,0%</w:t>
      </w:r>
      <w:r w:rsidRPr="00126454">
        <w:rPr>
          <w:rFonts w:ascii="Calibri" w:hAnsi="Calibri" w:cs="Arial"/>
          <w:bCs/>
          <w:sz w:val="22"/>
          <w:szCs w:val="22"/>
        </w:rPr>
        <w:t>;</w:t>
      </w:r>
    </w:p>
    <w:p w:rsidR="009870BB" w:rsidRPr="00126454" w:rsidRDefault="009870BB" w:rsidP="009870BB">
      <w:pPr>
        <w:numPr>
          <w:ilvl w:val="0"/>
          <w:numId w:val="31"/>
        </w:numPr>
        <w:spacing w:line="276" w:lineRule="auto"/>
        <w:ind w:left="-567" w:firstLine="0"/>
        <w:jc w:val="both"/>
        <w:rPr>
          <w:rFonts w:ascii="Calibri" w:hAnsi="Calibri" w:cs="Arial"/>
          <w:bCs/>
          <w:sz w:val="22"/>
          <w:szCs w:val="22"/>
        </w:rPr>
      </w:pPr>
      <w:r w:rsidRPr="00126454">
        <w:rPr>
          <w:rFonts w:ascii="Calibri" w:hAnsi="Calibri" w:cs="Arial"/>
          <w:bCs/>
          <w:sz w:val="22"/>
          <w:szCs w:val="22"/>
        </w:rPr>
        <w:t xml:space="preserve">Gorszy wynik na działalności bankowej to także efekt niższego wyniku prowizyjnego. Jednocześnie zwiększyły się koszty działania banku. W efekcie </w:t>
      </w:r>
      <w:r w:rsidRPr="00126454">
        <w:rPr>
          <w:rFonts w:ascii="Calibri" w:hAnsi="Calibri" w:cs="Arial"/>
          <w:b/>
          <w:bCs/>
          <w:sz w:val="22"/>
          <w:szCs w:val="22"/>
        </w:rPr>
        <w:t>efektywność kosztowa banku jest bardzo niska</w:t>
      </w:r>
      <w:r w:rsidRPr="00126454">
        <w:rPr>
          <w:rFonts w:ascii="Calibri" w:hAnsi="Calibri" w:cs="Arial"/>
          <w:bCs/>
          <w:sz w:val="22"/>
          <w:szCs w:val="22"/>
        </w:rPr>
        <w:t xml:space="preserve"> (relacja kosztów do dochodów wyniosła 84,6%);</w:t>
      </w:r>
    </w:p>
    <w:p w:rsidR="009870BB" w:rsidRPr="00126454" w:rsidRDefault="009870BB" w:rsidP="009870BB">
      <w:pPr>
        <w:numPr>
          <w:ilvl w:val="0"/>
          <w:numId w:val="31"/>
        </w:numPr>
        <w:spacing w:line="276" w:lineRule="auto"/>
        <w:ind w:left="-567" w:firstLine="0"/>
        <w:jc w:val="both"/>
        <w:rPr>
          <w:rFonts w:ascii="Calibri" w:hAnsi="Calibri" w:cs="Arial"/>
          <w:bCs/>
          <w:sz w:val="22"/>
          <w:szCs w:val="22"/>
        </w:rPr>
      </w:pPr>
      <w:r w:rsidRPr="00126454">
        <w:rPr>
          <w:rFonts w:ascii="Calibri" w:hAnsi="Calibri" w:cs="Arial"/>
          <w:bCs/>
          <w:sz w:val="22"/>
          <w:szCs w:val="22"/>
        </w:rPr>
        <w:t xml:space="preserve">Wynik netto byłby jeszcze niższy, gdyby nie </w:t>
      </w:r>
      <w:r w:rsidRPr="00126454">
        <w:rPr>
          <w:rFonts w:ascii="Calibri" w:hAnsi="Calibri" w:cs="Arial"/>
          <w:b/>
          <w:bCs/>
          <w:sz w:val="22"/>
          <w:szCs w:val="22"/>
        </w:rPr>
        <w:t>spadek kosztów ryzyka</w:t>
      </w:r>
      <w:r w:rsidRPr="00126454">
        <w:rPr>
          <w:rFonts w:ascii="Calibri" w:hAnsi="Calibri" w:cs="Arial"/>
          <w:bCs/>
          <w:sz w:val="22"/>
          <w:szCs w:val="22"/>
        </w:rPr>
        <w:t xml:space="preserve">. W strukturze portfela kredytowego widać jednak </w:t>
      </w:r>
      <w:r w:rsidRPr="00126454">
        <w:rPr>
          <w:rFonts w:ascii="Calibri" w:hAnsi="Calibri" w:cs="Arial"/>
          <w:b/>
          <w:bCs/>
          <w:sz w:val="22"/>
          <w:szCs w:val="22"/>
        </w:rPr>
        <w:t>wzrost udziału kredytów zagrożonych</w:t>
      </w:r>
      <w:r w:rsidRPr="00126454">
        <w:rPr>
          <w:rFonts w:ascii="Calibri" w:hAnsi="Calibri" w:cs="Arial"/>
          <w:bCs/>
          <w:sz w:val="22"/>
          <w:szCs w:val="22"/>
        </w:rPr>
        <w:t xml:space="preserve"> do 8,43% i jest słabsza na tle sektora. Bank nie podał, jakie jest pokrycie rezerwami celowymi kredytów z utratą wartości;</w:t>
      </w:r>
    </w:p>
    <w:p w:rsidR="009870BB" w:rsidRPr="00126454" w:rsidRDefault="009870BB" w:rsidP="009870BB">
      <w:pPr>
        <w:pStyle w:val="Akapitzlist"/>
        <w:numPr>
          <w:ilvl w:val="0"/>
          <w:numId w:val="31"/>
        </w:numPr>
        <w:tabs>
          <w:tab w:val="left" w:pos="-142"/>
        </w:tabs>
        <w:ind w:left="-567" w:firstLine="0"/>
        <w:jc w:val="both"/>
        <w:rPr>
          <w:rFonts w:asciiTheme="minorHAnsi" w:hAnsiTheme="minorHAnsi" w:cs="Arial"/>
        </w:rPr>
      </w:pPr>
      <w:r w:rsidRPr="00126454">
        <w:rPr>
          <w:rFonts w:cs="Arial"/>
          <w:b/>
          <w:bCs/>
        </w:rPr>
        <w:t>Współczynnik wypłacalności lekko obniżył się</w:t>
      </w:r>
      <w:r w:rsidRPr="00126454">
        <w:rPr>
          <w:rFonts w:cs="Arial"/>
          <w:bCs/>
        </w:rPr>
        <w:t xml:space="preserve"> (do 11,84%). Spełnione jest ustawowe minimum (8%), choć jego poziom obecnie jest nieco poniżej rekomendowanego przez KNF.</w:t>
      </w:r>
    </w:p>
    <w:p w:rsidR="009870BB" w:rsidRDefault="009870BB" w:rsidP="00BB134C">
      <w:pPr>
        <w:tabs>
          <w:tab w:val="left" w:pos="6960"/>
        </w:tabs>
        <w:ind w:left="-510"/>
        <w:rPr>
          <w:rFonts w:asciiTheme="minorHAnsi" w:hAnsiTheme="minorHAnsi" w:cs="Arial"/>
          <w:sz w:val="26"/>
          <w:szCs w:val="26"/>
        </w:rPr>
      </w:pPr>
    </w:p>
    <w:p w:rsidR="00126454" w:rsidRDefault="00126454" w:rsidP="00E1453C">
      <w:pPr>
        <w:framePr w:w="10483" w:hSpace="141" w:wrap="around" w:vAnchor="text" w:hAnchor="page" w:x="850" w:y="109"/>
        <w:jc w:val="both"/>
        <w:rPr>
          <w:rFonts w:ascii="Calibri" w:hAnsi="Calibri" w:cs="Arial"/>
          <w:bCs/>
          <w:sz w:val="20"/>
          <w:szCs w:val="20"/>
        </w:rPr>
      </w:pPr>
    </w:p>
    <w:p w:rsidR="00CF2B28" w:rsidRPr="00BB134C" w:rsidRDefault="00CF2B28">
      <w:pPr>
        <w:rPr>
          <w:rFonts w:asciiTheme="minorHAnsi" w:hAnsiTheme="minorHAnsi" w:cs="Arial"/>
          <w:sz w:val="20"/>
          <w:szCs w:val="20"/>
        </w:rPr>
      </w:pPr>
      <w:r w:rsidRPr="00BB134C">
        <w:rPr>
          <w:rFonts w:asciiTheme="minorHAnsi" w:hAnsiTheme="minorHAnsi" w:cs="Arial"/>
          <w:sz w:val="20"/>
          <w:szCs w:val="20"/>
        </w:rPr>
        <w:br w:type="page"/>
      </w:r>
    </w:p>
    <w:p w:rsidR="00BB134C" w:rsidRDefault="00BB134C" w:rsidP="00636E50">
      <w:pPr>
        <w:pStyle w:val="Nagwek1"/>
      </w:pPr>
      <w:bookmarkStart w:id="14" w:name="_Toc368572364"/>
      <w:r w:rsidRPr="00636E50">
        <w:lastRenderedPageBreak/>
        <w:t>GOSPODARCZY BANK SPÓŁDZIELCZY W BARLINKU</w:t>
      </w:r>
      <w:bookmarkEnd w:id="14"/>
    </w:p>
    <w:p w:rsidR="009F57B5" w:rsidRPr="009F57B5" w:rsidRDefault="009F57B5" w:rsidP="009F57B5"/>
    <w:tbl>
      <w:tblPr>
        <w:tblW w:w="3979" w:type="dxa"/>
        <w:tblInd w:w="60" w:type="dxa"/>
        <w:tblCellMar>
          <w:left w:w="70" w:type="dxa"/>
          <w:right w:w="70" w:type="dxa"/>
        </w:tblCellMar>
        <w:tblLook w:val="04A0"/>
      </w:tblPr>
      <w:tblGrid>
        <w:gridCol w:w="2600"/>
        <w:gridCol w:w="546"/>
        <w:gridCol w:w="833"/>
      </w:tblGrid>
      <w:tr w:rsidR="009F57B5" w:rsidTr="009057F0">
        <w:trPr>
          <w:trHeight w:val="252"/>
        </w:trPr>
        <w:tc>
          <w:tcPr>
            <w:tcW w:w="2600" w:type="dxa"/>
            <w:tcBorders>
              <w:top w:val="single" w:sz="8" w:space="0" w:color="FFFFFF"/>
              <w:left w:val="single" w:sz="8" w:space="0" w:color="FFFFFF"/>
              <w:bottom w:val="single" w:sz="8" w:space="0" w:color="1EAA82"/>
              <w:right w:val="nil"/>
            </w:tcBorders>
            <w:shd w:val="clear" w:color="000000" w:fill="FFFFFF"/>
            <w:vAlign w:val="center"/>
            <w:hideMark/>
          </w:tcPr>
          <w:p w:rsidR="009F57B5" w:rsidRDefault="009F57B5" w:rsidP="009057F0">
            <w:pPr>
              <w:rPr>
                <w:rFonts w:ascii="Calibri" w:hAnsi="Calibri" w:cs="Calibri"/>
                <w:b/>
                <w:bCs/>
                <w:color w:val="000000"/>
                <w:sz w:val="18"/>
                <w:szCs w:val="18"/>
              </w:rPr>
            </w:pPr>
            <w:r>
              <w:rPr>
                <w:rFonts w:ascii="Calibri" w:hAnsi="Calibri" w:cs="Calibri"/>
                <w:b/>
                <w:bCs/>
                <w:color w:val="000000"/>
                <w:sz w:val="18"/>
                <w:szCs w:val="18"/>
              </w:rPr>
              <w:t>Podstawowe dane</w:t>
            </w:r>
          </w:p>
        </w:tc>
        <w:tc>
          <w:tcPr>
            <w:tcW w:w="546" w:type="dxa"/>
            <w:tcBorders>
              <w:top w:val="single" w:sz="8" w:space="0" w:color="FFFFFF"/>
              <w:left w:val="nil"/>
              <w:bottom w:val="single" w:sz="8" w:space="0" w:color="1EAA82"/>
              <w:right w:val="single" w:sz="8" w:space="0" w:color="FFFFFF"/>
            </w:tcBorders>
            <w:shd w:val="clear" w:color="000000" w:fill="FFFFFF"/>
            <w:vAlign w:val="center"/>
            <w:hideMark/>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2012 </w:t>
            </w:r>
          </w:p>
        </w:tc>
        <w:tc>
          <w:tcPr>
            <w:tcW w:w="833" w:type="dxa"/>
            <w:tcBorders>
              <w:top w:val="single" w:sz="8" w:space="0" w:color="FFFFFF"/>
              <w:left w:val="nil"/>
              <w:bottom w:val="single" w:sz="8" w:space="0" w:color="1EAA82"/>
              <w:right w:val="single" w:sz="8" w:space="0" w:color="FFFFFF"/>
            </w:tcBorders>
            <w:shd w:val="clear" w:color="000000" w:fill="FFFFFF"/>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1H’13</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Suma bilansowa [mln PLN]</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743</w:t>
            </w:r>
          </w:p>
        </w:tc>
        <w:tc>
          <w:tcPr>
            <w:tcW w:w="833" w:type="dxa"/>
            <w:tcBorders>
              <w:top w:val="nil"/>
              <w:left w:val="nil"/>
              <w:bottom w:val="nil"/>
              <w:right w:val="nil"/>
            </w:tcBorders>
            <w:shd w:val="clear" w:color="000000" w:fill="FFFFFF"/>
          </w:tcPr>
          <w:p w:rsidR="009F57B5" w:rsidRDefault="00CA15AD" w:rsidP="009057F0">
            <w:pPr>
              <w:jc w:val="right"/>
              <w:rPr>
                <w:rFonts w:ascii="Calibri" w:hAnsi="Calibri" w:cs="Calibri"/>
                <w:color w:val="000000"/>
                <w:sz w:val="18"/>
                <w:szCs w:val="18"/>
              </w:rPr>
            </w:pPr>
            <w:r>
              <w:rPr>
                <w:rFonts w:ascii="Calibri" w:hAnsi="Calibri" w:cs="Calibri"/>
                <w:color w:val="000000"/>
                <w:sz w:val="18"/>
                <w:szCs w:val="18"/>
              </w:rPr>
              <w:t>818</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Kapitały własne [mln PLN]</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51</w:t>
            </w:r>
          </w:p>
        </w:tc>
        <w:tc>
          <w:tcPr>
            <w:tcW w:w="833" w:type="dxa"/>
            <w:tcBorders>
              <w:top w:val="nil"/>
              <w:left w:val="nil"/>
              <w:bottom w:val="nil"/>
              <w:right w:val="nil"/>
            </w:tcBorders>
            <w:shd w:val="clear" w:color="000000" w:fill="FFFFFF"/>
          </w:tcPr>
          <w:p w:rsidR="009F57B5" w:rsidRDefault="00CA15AD" w:rsidP="009057F0">
            <w:pPr>
              <w:jc w:val="right"/>
              <w:rPr>
                <w:rFonts w:ascii="Calibri" w:hAnsi="Calibri" w:cs="Calibri"/>
                <w:color w:val="000000"/>
                <w:sz w:val="18"/>
                <w:szCs w:val="18"/>
              </w:rPr>
            </w:pPr>
            <w:r>
              <w:rPr>
                <w:rFonts w:ascii="Calibri" w:hAnsi="Calibri" w:cs="Calibri"/>
                <w:color w:val="000000"/>
                <w:sz w:val="18"/>
                <w:szCs w:val="18"/>
              </w:rPr>
              <w:t>53</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 xml:space="preserve">Współczynnik wypłacalności [%]                      </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11,2</w:t>
            </w:r>
          </w:p>
        </w:tc>
        <w:tc>
          <w:tcPr>
            <w:tcW w:w="833" w:type="dxa"/>
            <w:tcBorders>
              <w:top w:val="nil"/>
              <w:left w:val="nil"/>
              <w:bottom w:val="nil"/>
              <w:right w:val="nil"/>
            </w:tcBorders>
            <w:shd w:val="clear" w:color="000000" w:fill="FFFFFF"/>
          </w:tcPr>
          <w:p w:rsidR="009F57B5" w:rsidRDefault="00CA15AD" w:rsidP="009057F0">
            <w:pPr>
              <w:jc w:val="right"/>
              <w:rPr>
                <w:rFonts w:ascii="Calibri" w:hAnsi="Calibri" w:cs="Calibri"/>
                <w:color w:val="000000"/>
                <w:sz w:val="18"/>
                <w:szCs w:val="18"/>
              </w:rPr>
            </w:pPr>
            <w:r>
              <w:rPr>
                <w:rFonts w:ascii="Calibri" w:hAnsi="Calibri" w:cs="Calibri"/>
                <w:color w:val="000000"/>
                <w:sz w:val="18"/>
                <w:szCs w:val="18"/>
              </w:rPr>
              <w:t>11,7</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C/I [%]</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71,2</w:t>
            </w:r>
          </w:p>
        </w:tc>
        <w:tc>
          <w:tcPr>
            <w:tcW w:w="833" w:type="dxa"/>
            <w:tcBorders>
              <w:top w:val="nil"/>
              <w:left w:val="nil"/>
              <w:bottom w:val="nil"/>
              <w:right w:val="nil"/>
            </w:tcBorders>
            <w:shd w:val="clear" w:color="000000" w:fill="FFFFFF"/>
          </w:tcPr>
          <w:p w:rsidR="009F57B5" w:rsidRDefault="00CA15AD" w:rsidP="009057F0">
            <w:pPr>
              <w:jc w:val="right"/>
              <w:rPr>
                <w:rFonts w:ascii="Calibri" w:hAnsi="Calibri" w:cs="Calibri"/>
                <w:color w:val="000000"/>
                <w:sz w:val="18"/>
                <w:szCs w:val="18"/>
              </w:rPr>
            </w:pPr>
            <w:r>
              <w:rPr>
                <w:rFonts w:ascii="Calibri" w:hAnsi="Calibri" w:cs="Calibri"/>
                <w:color w:val="000000"/>
                <w:sz w:val="18"/>
                <w:szCs w:val="18"/>
              </w:rPr>
              <w:t>81,0</w:t>
            </w:r>
          </w:p>
        </w:tc>
      </w:tr>
    </w:tbl>
    <w:p w:rsidR="00E1453C" w:rsidRDefault="00E1453C" w:rsidP="00BB134C">
      <w:pPr>
        <w:tabs>
          <w:tab w:val="left" w:pos="6960"/>
        </w:tabs>
        <w:ind w:left="-510"/>
        <w:rPr>
          <w:rFonts w:asciiTheme="minorHAnsi" w:hAnsiTheme="minorHAnsi" w:cs="Arial"/>
          <w:sz w:val="26"/>
          <w:szCs w:val="26"/>
        </w:rPr>
      </w:pPr>
    </w:p>
    <w:p w:rsidR="00E1453C" w:rsidRPr="00E1453C" w:rsidRDefault="00E1453C" w:rsidP="00E1453C">
      <w:pPr>
        <w:tabs>
          <w:tab w:val="left" w:pos="6960"/>
        </w:tabs>
        <w:spacing w:line="276" w:lineRule="auto"/>
        <w:ind w:left="-510"/>
        <w:jc w:val="both"/>
        <w:rPr>
          <w:rFonts w:ascii="Calibri" w:hAnsi="Calibri" w:cs="Arial"/>
          <w:bCs/>
          <w:sz w:val="22"/>
          <w:szCs w:val="22"/>
        </w:rPr>
      </w:pPr>
      <w:r w:rsidRPr="00E1453C">
        <w:rPr>
          <w:rFonts w:ascii="Calibri" w:hAnsi="Calibri" w:cs="Arial"/>
          <w:b/>
          <w:bCs/>
          <w:sz w:val="22"/>
          <w:szCs w:val="22"/>
        </w:rPr>
        <w:t xml:space="preserve">Niższe koszty ryzyka wsparły wynik netto. </w:t>
      </w:r>
      <w:r w:rsidRPr="00E1453C">
        <w:rPr>
          <w:rFonts w:ascii="Calibri" w:hAnsi="Calibri" w:cs="Arial"/>
          <w:bCs/>
          <w:sz w:val="22"/>
          <w:szCs w:val="22"/>
        </w:rPr>
        <w:t>Gospodarczy Bank Spółdzielczy w Barlinku wypracował w 1H’13 zysk na działalności bankowej w wysokości 17,0 mln PLN, osiągając przy tym 2,3 mln PLN zysku netto.</w:t>
      </w:r>
    </w:p>
    <w:p w:rsidR="00E1453C" w:rsidRDefault="00E1453C" w:rsidP="00BB134C">
      <w:pPr>
        <w:tabs>
          <w:tab w:val="left" w:pos="6960"/>
        </w:tabs>
        <w:ind w:left="-510"/>
        <w:rPr>
          <w:rFonts w:asciiTheme="minorHAnsi" w:hAnsiTheme="minorHAnsi" w:cs="Arial"/>
          <w:sz w:val="26"/>
          <w:szCs w:val="26"/>
        </w:rPr>
      </w:pPr>
      <w:r>
        <w:rPr>
          <w:rFonts w:asciiTheme="minorHAnsi" w:hAnsiTheme="minorHAnsi" w:cs="Arial"/>
          <w:noProof/>
          <w:sz w:val="26"/>
          <w:szCs w:val="26"/>
        </w:rPr>
        <w:drawing>
          <wp:anchor distT="0" distB="0" distL="114300" distR="114300" simplePos="0" relativeHeight="251676160" behindDoc="1" locked="0" layoutInCell="1" allowOverlap="1">
            <wp:simplePos x="0" y="0"/>
            <wp:positionH relativeFrom="column">
              <wp:posOffset>3181985</wp:posOffset>
            </wp:positionH>
            <wp:positionV relativeFrom="paragraph">
              <wp:posOffset>144145</wp:posOffset>
            </wp:positionV>
            <wp:extent cx="3457575" cy="2124075"/>
            <wp:effectExtent l="19050" t="0" r="9525" b="0"/>
            <wp:wrapNone/>
            <wp:docPr id="49"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cstate="print"/>
                    <a:srcRect/>
                    <a:stretch>
                      <a:fillRect/>
                    </a:stretch>
                  </pic:blipFill>
                  <pic:spPr bwMode="auto">
                    <a:xfrm>
                      <a:off x="0" y="0"/>
                      <a:ext cx="3457575" cy="2124075"/>
                    </a:xfrm>
                    <a:prstGeom prst="rect">
                      <a:avLst/>
                    </a:prstGeom>
                    <a:noFill/>
                    <a:ln w="9525">
                      <a:noFill/>
                      <a:miter lim="800000"/>
                      <a:headEnd/>
                      <a:tailEnd/>
                    </a:ln>
                  </pic:spPr>
                </pic:pic>
              </a:graphicData>
            </a:graphic>
          </wp:anchor>
        </w:drawing>
      </w:r>
      <w:r>
        <w:rPr>
          <w:rFonts w:asciiTheme="minorHAnsi" w:hAnsiTheme="minorHAnsi" w:cs="Arial"/>
          <w:noProof/>
          <w:sz w:val="26"/>
          <w:szCs w:val="26"/>
        </w:rPr>
        <w:drawing>
          <wp:anchor distT="0" distB="0" distL="114300" distR="114300" simplePos="0" relativeHeight="251677184" behindDoc="1" locked="0" layoutInCell="1" allowOverlap="1">
            <wp:simplePos x="0" y="0"/>
            <wp:positionH relativeFrom="column">
              <wp:posOffset>-408940</wp:posOffset>
            </wp:positionH>
            <wp:positionV relativeFrom="paragraph">
              <wp:posOffset>144145</wp:posOffset>
            </wp:positionV>
            <wp:extent cx="3524250" cy="2095500"/>
            <wp:effectExtent l="19050" t="0" r="0" b="0"/>
            <wp:wrapNone/>
            <wp:docPr id="48"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8" cstate="print"/>
                    <a:srcRect/>
                    <a:stretch>
                      <a:fillRect/>
                    </a:stretch>
                  </pic:blipFill>
                  <pic:spPr bwMode="auto">
                    <a:xfrm>
                      <a:off x="0" y="0"/>
                      <a:ext cx="3524250" cy="2095500"/>
                    </a:xfrm>
                    <a:prstGeom prst="rect">
                      <a:avLst/>
                    </a:prstGeom>
                    <a:noFill/>
                    <a:ln w="9525">
                      <a:noFill/>
                      <a:miter lim="800000"/>
                      <a:headEnd/>
                      <a:tailEnd/>
                    </a:ln>
                  </pic:spPr>
                </pic:pic>
              </a:graphicData>
            </a:graphic>
          </wp:anchor>
        </w:drawing>
      </w:r>
    </w:p>
    <w:p w:rsidR="00E1453C" w:rsidRDefault="00E1453C" w:rsidP="00BB134C">
      <w:pPr>
        <w:tabs>
          <w:tab w:val="left" w:pos="6960"/>
        </w:tabs>
        <w:ind w:left="-510"/>
        <w:rPr>
          <w:rFonts w:asciiTheme="minorHAnsi" w:hAnsiTheme="minorHAnsi" w:cs="Arial"/>
          <w:sz w:val="26"/>
          <w:szCs w:val="26"/>
        </w:rPr>
      </w:pPr>
    </w:p>
    <w:p w:rsidR="00E1453C" w:rsidRDefault="00E1453C" w:rsidP="00BB134C">
      <w:pPr>
        <w:tabs>
          <w:tab w:val="left" w:pos="6960"/>
        </w:tabs>
        <w:ind w:left="-510"/>
        <w:rPr>
          <w:rFonts w:asciiTheme="minorHAnsi" w:hAnsiTheme="minorHAnsi" w:cs="Arial"/>
          <w:sz w:val="26"/>
          <w:szCs w:val="26"/>
        </w:rPr>
      </w:pPr>
    </w:p>
    <w:p w:rsidR="00E1453C" w:rsidRDefault="00E1453C" w:rsidP="00BB134C">
      <w:pPr>
        <w:tabs>
          <w:tab w:val="left" w:pos="6960"/>
        </w:tabs>
        <w:ind w:left="-510"/>
        <w:rPr>
          <w:rFonts w:asciiTheme="minorHAnsi" w:hAnsiTheme="minorHAnsi" w:cs="Arial"/>
          <w:sz w:val="26"/>
          <w:szCs w:val="26"/>
        </w:rPr>
      </w:pPr>
    </w:p>
    <w:p w:rsidR="00E1453C" w:rsidRDefault="00E1453C" w:rsidP="00BB134C">
      <w:pPr>
        <w:tabs>
          <w:tab w:val="left" w:pos="6960"/>
        </w:tabs>
        <w:ind w:left="-510"/>
        <w:rPr>
          <w:rFonts w:asciiTheme="minorHAnsi" w:hAnsiTheme="minorHAnsi" w:cs="Arial"/>
          <w:sz w:val="26"/>
          <w:szCs w:val="26"/>
        </w:rPr>
      </w:pPr>
    </w:p>
    <w:p w:rsidR="00E1453C" w:rsidRDefault="00E1453C" w:rsidP="00BB134C">
      <w:pPr>
        <w:tabs>
          <w:tab w:val="left" w:pos="6960"/>
        </w:tabs>
        <w:ind w:left="-510"/>
        <w:rPr>
          <w:rFonts w:asciiTheme="minorHAnsi" w:hAnsiTheme="minorHAnsi" w:cs="Arial"/>
          <w:sz w:val="26"/>
          <w:szCs w:val="26"/>
        </w:rPr>
      </w:pPr>
    </w:p>
    <w:p w:rsidR="00E1453C" w:rsidRDefault="00E1453C" w:rsidP="00BB134C">
      <w:pPr>
        <w:tabs>
          <w:tab w:val="left" w:pos="6960"/>
        </w:tabs>
        <w:ind w:left="-510"/>
        <w:rPr>
          <w:rFonts w:asciiTheme="minorHAnsi" w:hAnsiTheme="minorHAnsi" w:cs="Arial"/>
          <w:sz w:val="26"/>
          <w:szCs w:val="26"/>
        </w:rPr>
      </w:pPr>
    </w:p>
    <w:p w:rsidR="00E1453C" w:rsidRDefault="00E1453C" w:rsidP="00BB134C">
      <w:pPr>
        <w:tabs>
          <w:tab w:val="left" w:pos="6960"/>
        </w:tabs>
        <w:ind w:left="-510"/>
        <w:rPr>
          <w:rFonts w:asciiTheme="minorHAnsi" w:hAnsiTheme="minorHAnsi" w:cs="Arial"/>
          <w:sz w:val="26"/>
          <w:szCs w:val="26"/>
        </w:rPr>
      </w:pPr>
    </w:p>
    <w:p w:rsidR="00E1453C" w:rsidRDefault="00E1453C" w:rsidP="00BB134C">
      <w:pPr>
        <w:tabs>
          <w:tab w:val="left" w:pos="6960"/>
        </w:tabs>
        <w:ind w:left="-510"/>
        <w:rPr>
          <w:rFonts w:asciiTheme="minorHAnsi" w:hAnsiTheme="minorHAnsi" w:cs="Arial"/>
          <w:sz w:val="26"/>
          <w:szCs w:val="26"/>
        </w:rPr>
      </w:pPr>
    </w:p>
    <w:p w:rsidR="00E1453C" w:rsidRDefault="00E1453C" w:rsidP="00BB134C">
      <w:pPr>
        <w:tabs>
          <w:tab w:val="left" w:pos="6960"/>
        </w:tabs>
        <w:ind w:left="-510"/>
        <w:rPr>
          <w:rFonts w:asciiTheme="minorHAnsi" w:hAnsiTheme="minorHAnsi" w:cs="Arial"/>
          <w:sz w:val="26"/>
          <w:szCs w:val="26"/>
        </w:rPr>
      </w:pPr>
    </w:p>
    <w:p w:rsidR="00E1453C" w:rsidRDefault="00E1453C" w:rsidP="00BB134C">
      <w:pPr>
        <w:tabs>
          <w:tab w:val="left" w:pos="6960"/>
        </w:tabs>
        <w:ind w:left="-510"/>
        <w:rPr>
          <w:rFonts w:asciiTheme="minorHAnsi" w:hAnsiTheme="minorHAnsi" w:cs="Arial"/>
          <w:sz w:val="26"/>
          <w:szCs w:val="26"/>
        </w:rPr>
      </w:pPr>
    </w:p>
    <w:p w:rsidR="00E1453C" w:rsidRDefault="00E1453C" w:rsidP="00BB134C">
      <w:pPr>
        <w:tabs>
          <w:tab w:val="left" w:pos="6960"/>
        </w:tabs>
        <w:ind w:left="-510"/>
        <w:rPr>
          <w:rFonts w:asciiTheme="minorHAnsi" w:hAnsiTheme="minorHAnsi" w:cs="Arial"/>
          <w:sz w:val="26"/>
          <w:szCs w:val="26"/>
        </w:rPr>
      </w:pPr>
    </w:p>
    <w:p w:rsidR="009870BB" w:rsidRPr="00E1453C" w:rsidRDefault="009870BB" w:rsidP="009870BB">
      <w:pPr>
        <w:numPr>
          <w:ilvl w:val="0"/>
          <w:numId w:val="39"/>
        </w:numPr>
        <w:spacing w:line="276" w:lineRule="auto"/>
        <w:ind w:left="-567" w:firstLine="0"/>
        <w:jc w:val="both"/>
        <w:rPr>
          <w:rFonts w:ascii="Calibri" w:hAnsi="Calibri" w:cs="Arial"/>
          <w:bCs/>
          <w:sz w:val="22"/>
          <w:szCs w:val="22"/>
        </w:rPr>
      </w:pPr>
      <w:r w:rsidRPr="00E1453C">
        <w:rPr>
          <w:rFonts w:ascii="Calibri" w:hAnsi="Calibri" w:cs="Arial"/>
          <w:bCs/>
          <w:sz w:val="22"/>
          <w:szCs w:val="22"/>
        </w:rPr>
        <w:t>Niewielki, blisko 2%, wzrost akcji kredytowej w warunkach obniżek stóp procentowych doprowadziło do obniżenia wyniku odsetkowego o ponad 16%, tj. o ok. 2,5 mln PLN. Marża odsetkowa netto banku spadła o 0,66 p.p. i wyniosła 3,84%;</w:t>
      </w:r>
    </w:p>
    <w:p w:rsidR="009870BB" w:rsidRPr="00E1453C" w:rsidRDefault="009870BB" w:rsidP="009870BB">
      <w:pPr>
        <w:numPr>
          <w:ilvl w:val="0"/>
          <w:numId w:val="39"/>
        </w:numPr>
        <w:spacing w:line="276" w:lineRule="auto"/>
        <w:ind w:left="-567" w:firstLine="0"/>
        <w:jc w:val="both"/>
        <w:rPr>
          <w:rFonts w:ascii="Calibri" w:hAnsi="Calibri" w:cs="Arial"/>
          <w:bCs/>
          <w:sz w:val="22"/>
          <w:szCs w:val="22"/>
        </w:rPr>
      </w:pPr>
      <w:r w:rsidRPr="00E1453C">
        <w:rPr>
          <w:rFonts w:ascii="Calibri" w:hAnsi="Calibri" w:cs="Arial"/>
          <w:bCs/>
          <w:sz w:val="22"/>
          <w:szCs w:val="22"/>
        </w:rPr>
        <w:t>Wzrost pozostałych dochodów jedynie w niewielkim stopniu zneutralizował obniżenie wyniku odsetkowego i wynik z działalności bankowej spadł o ok. 2,2 mln PLN;</w:t>
      </w:r>
    </w:p>
    <w:p w:rsidR="009870BB" w:rsidRPr="00E1453C" w:rsidRDefault="009870BB" w:rsidP="009870BB">
      <w:pPr>
        <w:numPr>
          <w:ilvl w:val="0"/>
          <w:numId w:val="39"/>
        </w:numPr>
        <w:spacing w:line="276" w:lineRule="auto"/>
        <w:ind w:left="-567" w:firstLine="0"/>
        <w:jc w:val="both"/>
        <w:rPr>
          <w:rFonts w:ascii="Calibri" w:hAnsi="Calibri" w:cs="Arial"/>
          <w:bCs/>
          <w:sz w:val="22"/>
          <w:szCs w:val="22"/>
        </w:rPr>
      </w:pPr>
      <w:r w:rsidRPr="00E1453C">
        <w:rPr>
          <w:rFonts w:ascii="Calibri" w:hAnsi="Calibri" w:cs="Arial"/>
          <w:bCs/>
          <w:sz w:val="22"/>
          <w:szCs w:val="22"/>
        </w:rPr>
        <w:t xml:space="preserve">Koszty działania wzrosły szybciej niż inflacja i tempo wzrostu skali działalności co w połączeniu ze słabszymi wynikiem z działalności bankowej doprowadziło do </w:t>
      </w:r>
      <w:r w:rsidRPr="00E1453C">
        <w:rPr>
          <w:rFonts w:ascii="Calibri" w:hAnsi="Calibri" w:cs="Arial"/>
          <w:b/>
          <w:bCs/>
          <w:sz w:val="22"/>
          <w:szCs w:val="22"/>
        </w:rPr>
        <w:t>obniżenia efektywności kosztowej banku</w:t>
      </w:r>
      <w:r w:rsidRPr="00E1453C">
        <w:rPr>
          <w:rFonts w:ascii="Calibri" w:hAnsi="Calibri" w:cs="Arial"/>
          <w:bCs/>
          <w:sz w:val="22"/>
          <w:szCs w:val="22"/>
        </w:rPr>
        <w:t xml:space="preserve">. Relacja kosztów do dochodów wzrosła do 81,0%; </w:t>
      </w:r>
    </w:p>
    <w:p w:rsidR="009870BB" w:rsidRPr="00E1453C" w:rsidRDefault="009870BB" w:rsidP="009870BB">
      <w:pPr>
        <w:numPr>
          <w:ilvl w:val="0"/>
          <w:numId w:val="39"/>
        </w:numPr>
        <w:spacing w:line="276" w:lineRule="auto"/>
        <w:ind w:left="-567" w:firstLine="0"/>
        <w:jc w:val="both"/>
        <w:rPr>
          <w:rFonts w:ascii="Calibri" w:hAnsi="Calibri" w:cs="Arial"/>
          <w:bCs/>
          <w:sz w:val="22"/>
          <w:szCs w:val="22"/>
        </w:rPr>
      </w:pPr>
      <w:r w:rsidRPr="00E1453C">
        <w:rPr>
          <w:rFonts w:ascii="Calibri" w:hAnsi="Calibri" w:cs="Arial"/>
          <w:b/>
          <w:bCs/>
          <w:sz w:val="22"/>
          <w:szCs w:val="22"/>
        </w:rPr>
        <w:t>Portfel kredytowy banku „psuje się”</w:t>
      </w:r>
      <w:r w:rsidRPr="00E1453C">
        <w:rPr>
          <w:rFonts w:ascii="Calibri" w:hAnsi="Calibri" w:cs="Arial"/>
          <w:bCs/>
          <w:sz w:val="22"/>
          <w:szCs w:val="22"/>
        </w:rPr>
        <w:t>, a udział kredytów zagrożonych w strukturze stanowi 7,63% portfela (powyżej średniej dla sektora). Wartość kredytów zagrożonych w ciągu ostatnich 6 miesięcy wzrosła o 4,8 mln PLN. Tym nie mniej bank dokonał niższych odpisów niż przed rokiem (o 6,4 mln PLN, tj. 44%), co wsparło wynik;</w:t>
      </w:r>
    </w:p>
    <w:p w:rsidR="009870BB" w:rsidRPr="00E1453C" w:rsidRDefault="009870BB" w:rsidP="009870BB">
      <w:pPr>
        <w:pStyle w:val="Akapitzlist"/>
        <w:numPr>
          <w:ilvl w:val="0"/>
          <w:numId w:val="39"/>
        </w:numPr>
        <w:tabs>
          <w:tab w:val="left" w:pos="-142"/>
        </w:tabs>
        <w:ind w:left="-567" w:firstLine="0"/>
        <w:jc w:val="both"/>
        <w:rPr>
          <w:rFonts w:asciiTheme="minorHAnsi" w:hAnsiTheme="minorHAnsi" w:cs="Arial"/>
        </w:rPr>
      </w:pPr>
      <w:r w:rsidRPr="00E1453C">
        <w:rPr>
          <w:rFonts w:cs="Arial"/>
          <w:bCs/>
        </w:rPr>
        <w:t xml:space="preserve">Niższy przyrost aktywów ważonych ryzykiem w połączeniu z ponad 10% wzrostem funduszy własnych banku pozwolił na </w:t>
      </w:r>
      <w:r w:rsidRPr="00E1453C">
        <w:rPr>
          <w:rFonts w:cs="Arial"/>
          <w:b/>
          <w:bCs/>
        </w:rPr>
        <w:t>poprawę współczynnika wypłacalności banku</w:t>
      </w:r>
      <w:r w:rsidRPr="00E1453C">
        <w:rPr>
          <w:rFonts w:cs="Arial"/>
          <w:bCs/>
        </w:rPr>
        <w:t>, który wzrósł do 11,68%, czyli nieco poniżej wartości rekomendowanej przez KNF.</w:t>
      </w:r>
    </w:p>
    <w:p w:rsidR="009870BB" w:rsidRDefault="009870BB" w:rsidP="00BB134C">
      <w:pPr>
        <w:tabs>
          <w:tab w:val="left" w:pos="6960"/>
        </w:tabs>
        <w:ind w:left="-510"/>
        <w:rPr>
          <w:rFonts w:asciiTheme="minorHAnsi" w:hAnsiTheme="minorHAnsi" w:cs="Arial"/>
          <w:sz w:val="26"/>
          <w:szCs w:val="26"/>
        </w:rPr>
      </w:pPr>
    </w:p>
    <w:p w:rsidR="00E1453C" w:rsidRDefault="00E1453C" w:rsidP="00BB134C">
      <w:pPr>
        <w:tabs>
          <w:tab w:val="left" w:pos="6960"/>
        </w:tabs>
        <w:ind w:left="-510"/>
        <w:rPr>
          <w:rFonts w:asciiTheme="minorHAnsi" w:hAnsiTheme="minorHAnsi" w:cs="Arial"/>
          <w:sz w:val="26"/>
          <w:szCs w:val="26"/>
        </w:rPr>
      </w:pPr>
    </w:p>
    <w:p w:rsidR="00CF2B28" w:rsidRPr="00BB134C" w:rsidRDefault="00CF2B28">
      <w:pPr>
        <w:rPr>
          <w:rFonts w:asciiTheme="minorHAnsi" w:hAnsiTheme="minorHAnsi" w:cs="Arial"/>
          <w:sz w:val="20"/>
          <w:szCs w:val="20"/>
        </w:rPr>
      </w:pPr>
      <w:r w:rsidRPr="00BB134C">
        <w:rPr>
          <w:rFonts w:asciiTheme="minorHAnsi" w:hAnsiTheme="minorHAnsi" w:cs="Arial"/>
          <w:sz w:val="20"/>
          <w:szCs w:val="20"/>
        </w:rPr>
        <w:br w:type="page"/>
      </w:r>
    </w:p>
    <w:p w:rsidR="00BB134C" w:rsidRPr="00636E50" w:rsidRDefault="00BB134C" w:rsidP="00636E50">
      <w:pPr>
        <w:pStyle w:val="Nagwek1"/>
      </w:pPr>
      <w:bookmarkStart w:id="15" w:name="_Toc368572365"/>
      <w:r w:rsidRPr="00636E50">
        <w:lastRenderedPageBreak/>
        <w:t>BANK SPÓŁDZIELCZY W LIMANOWEJ</w:t>
      </w:r>
      <w:bookmarkEnd w:id="15"/>
    </w:p>
    <w:p w:rsidR="00126454" w:rsidRPr="00366A2D" w:rsidRDefault="00126454" w:rsidP="00BB134C">
      <w:pPr>
        <w:tabs>
          <w:tab w:val="left" w:pos="6960"/>
        </w:tabs>
        <w:ind w:left="-510"/>
        <w:rPr>
          <w:rFonts w:asciiTheme="minorHAnsi" w:hAnsiTheme="minorHAnsi" w:cs="Arial"/>
          <w:sz w:val="22"/>
          <w:szCs w:val="22"/>
        </w:rPr>
      </w:pPr>
    </w:p>
    <w:tbl>
      <w:tblPr>
        <w:tblW w:w="3979" w:type="dxa"/>
        <w:tblInd w:w="60" w:type="dxa"/>
        <w:tblCellMar>
          <w:left w:w="70" w:type="dxa"/>
          <w:right w:w="70" w:type="dxa"/>
        </w:tblCellMar>
        <w:tblLook w:val="04A0"/>
      </w:tblPr>
      <w:tblGrid>
        <w:gridCol w:w="2600"/>
        <w:gridCol w:w="546"/>
        <w:gridCol w:w="833"/>
      </w:tblGrid>
      <w:tr w:rsidR="009F57B5" w:rsidTr="009057F0">
        <w:trPr>
          <w:trHeight w:val="252"/>
        </w:trPr>
        <w:tc>
          <w:tcPr>
            <w:tcW w:w="2600" w:type="dxa"/>
            <w:tcBorders>
              <w:top w:val="single" w:sz="8" w:space="0" w:color="FFFFFF"/>
              <w:left w:val="single" w:sz="8" w:space="0" w:color="FFFFFF"/>
              <w:bottom w:val="single" w:sz="8" w:space="0" w:color="1EAA82"/>
              <w:right w:val="nil"/>
            </w:tcBorders>
            <w:shd w:val="clear" w:color="000000" w:fill="FFFFFF"/>
            <w:vAlign w:val="center"/>
            <w:hideMark/>
          </w:tcPr>
          <w:p w:rsidR="009F57B5" w:rsidRDefault="009F57B5" w:rsidP="009057F0">
            <w:pPr>
              <w:rPr>
                <w:rFonts w:ascii="Calibri" w:hAnsi="Calibri" w:cs="Calibri"/>
                <w:b/>
                <w:bCs/>
                <w:color w:val="000000"/>
                <w:sz w:val="18"/>
                <w:szCs w:val="18"/>
              </w:rPr>
            </w:pPr>
            <w:r>
              <w:rPr>
                <w:rFonts w:ascii="Calibri" w:hAnsi="Calibri" w:cs="Calibri"/>
                <w:b/>
                <w:bCs/>
                <w:color w:val="000000"/>
                <w:sz w:val="18"/>
                <w:szCs w:val="18"/>
              </w:rPr>
              <w:t>Podstawowe dane</w:t>
            </w:r>
          </w:p>
        </w:tc>
        <w:tc>
          <w:tcPr>
            <w:tcW w:w="546" w:type="dxa"/>
            <w:tcBorders>
              <w:top w:val="single" w:sz="8" w:space="0" w:color="FFFFFF"/>
              <w:left w:val="nil"/>
              <w:bottom w:val="single" w:sz="8" w:space="0" w:color="1EAA82"/>
              <w:right w:val="single" w:sz="8" w:space="0" w:color="FFFFFF"/>
            </w:tcBorders>
            <w:shd w:val="clear" w:color="000000" w:fill="FFFFFF"/>
            <w:vAlign w:val="center"/>
            <w:hideMark/>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2012 </w:t>
            </w:r>
          </w:p>
        </w:tc>
        <w:tc>
          <w:tcPr>
            <w:tcW w:w="833" w:type="dxa"/>
            <w:tcBorders>
              <w:top w:val="single" w:sz="8" w:space="0" w:color="FFFFFF"/>
              <w:left w:val="nil"/>
              <w:bottom w:val="single" w:sz="8" w:space="0" w:color="1EAA82"/>
              <w:right w:val="single" w:sz="8" w:space="0" w:color="FFFFFF"/>
            </w:tcBorders>
            <w:shd w:val="clear" w:color="000000" w:fill="FFFFFF"/>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1H’13</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Suma bilansowa [mln PLN]</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535</w:t>
            </w:r>
          </w:p>
        </w:tc>
        <w:tc>
          <w:tcPr>
            <w:tcW w:w="833" w:type="dxa"/>
            <w:tcBorders>
              <w:top w:val="nil"/>
              <w:left w:val="nil"/>
              <w:bottom w:val="nil"/>
              <w:right w:val="nil"/>
            </w:tcBorders>
            <w:shd w:val="clear" w:color="000000" w:fill="FFFFFF"/>
          </w:tcPr>
          <w:p w:rsidR="009F57B5" w:rsidRDefault="00CA15AD" w:rsidP="009057F0">
            <w:pPr>
              <w:jc w:val="right"/>
              <w:rPr>
                <w:rFonts w:ascii="Calibri" w:hAnsi="Calibri" w:cs="Calibri"/>
                <w:color w:val="000000"/>
                <w:sz w:val="18"/>
                <w:szCs w:val="18"/>
              </w:rPr>
            </w:pPr>
            <w:r>
              <w:rPr>
                <w:rFonts w:ascii="Calibri" w:hAnsi="Calibri" w:cs="Calibri"/>
                <w:color w:val="000000"/>
                <w:sz w:val="18"/>
                <w:szCs w:val="18"/>
              </w:rPr>
              <w:t>555</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Kapitały własne [mln PLN]</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39</w:t>
            </w:r>
          </w:p>
        </w:tc>
        <w:tc>
          <w:tcPr>
            <w:tcW w:w="833" w:type="dxa"/>
            <w:tcBorders>
              <w:top w:val="nil"/>
              <w:left w:val="nil"/>
              <w:bottom w:val="nil"/>
              <w:right w:val="nil"/>
            </w:tcBorders>
            <w:shd w:val="clear" w:color="000000" w:fill="FFFFFF"/>
          </w:tcPr>
          <w:p w:rsidR="009F57B5" w:rsidRDefault="00CA15AD" w:rsidP="009057F0">
            <w:pPr>
              <w:jc w:val="right"/>
              <w:rPr>
                <w:rFonts w:ascii="Calibri" w:hAnsi="Calibri" w:cs="Calibri"/>
                <w:color w:val="000000"/>
                <w:sz w:val="18"/>
                <w:szCs w:val="18"/>
              </w:rPr>
            </w:pPr>
            <w:r>
              <w:rPr>
                <w:rFonts w:ascii="Calibri" w:hAnsi="Calibri" w:cs="Calibri"/>
                <w:color w:val="000000"/>
                <w:sz w:val="18"/>
                <w:szCs w:val="18"/>
              </w:rPr>
              <w:t>42</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 xml:space="preserve">Współczynnik wypłacalności [%]                      </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12,1</w:t>
            </w:r>
          </w:p>
        </w:tc>
        <w:tc>
          <w:tcPr>
            <w:tcW w:w="833" w:type="dxa"/>
            <w:tcBorders>
              <w:top w:val="nil"/>
              <w:left w:val="nil"/>
              <w:bottom w:val="nil"/>
              <w:right w:val="nil"/>
            </w:tcBorders>
            <w:shd w:val="clear" w:color="000000" w:fill="FFFFFF"/>
          </w:tcPr>
          <w:p w:rsidR="009F57B5" w:rsidRDefault="00CA15AD" w:rsidP="009057F0">
            <w:pPr>
              <w:jc w:val="right"/>
              <w:rPr>
                <w:rFonts w:ascii="Calibri" w:hAnsi="Calibri" w:cs="Calibri"/>
                <w:color w:val="000000"/>
                <w:sz w:val="18"/>
                <w:szCs w:val="18"/>
              </w:rPr>
            </w:pPr>
            <w:r>
              <w:rPr>
                <w:rFonts w:ascii="Calibri" w:hAnsi="Calibri" w:cs="Calibri"/>
                <w:color w:val="000000"/>
                <w:sz w:val="18"/>
                <w:szCs w:val="18"/>
              </w:rPr>
              <w:t>12,6</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C/I [%]</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75,3</w:t>
            </w:r>
          </w:p>
        </w:tc>
        <w:tc>
          <w:tcPr>
            <w:tcW w:w="833" w:type="dxa"/>
            <w:tcBorders>
              <w:top w:val="nil"/>
              <w:left w:val="nil"/>
              <w:bottom w:val="nil"/>
              <w:right w:val="nil"/>
            </w:tcBorders>
            <w:shd w:val="clear" w:color="000000" w:fill="FFFFFF"/>
          </w:tcPr>
          <w:p w:rsidR="009F57B5" w:rsidRDefault="00CA15AD" w:rsidP="009057F0">
            <w:pPr>
              <w:jc w:val="right"/>
              <w:rPr>
                <w:rFonts w:ascii="Calibri" w:hAnsi="Calibri" w:cs="Calibri"/>
                <w:color w:val="000000"/>
                <w:sz w:val="18"/>
                <w:szCs w:val="18"/>
              </w:rPr>
            </w:pPr>
            <w:r>
              <w:rPr>
                <w:rFonts w:ascii="Calibri" w:hAnsi="Calibri" w:cs="Calibri"/>
                <w:color w:val="000000"/>
                <w:sz w:val="18"/>
                <w:szCs w:val="18"/>
              </w:rPr>
              <w:t>81,8</w:t>
            </w:r>
          </w:p>
        </w:tc>
      </w:tr>
    </w:tbl>
    <w:p w:rsidR="009F57B5" w:rsidRPr="00366A2D" w:rsidRDefault="009F57B5" w:rsidP="00BB134C">
      <w:pPr>
        <w:tabs>
          <w:tab w:val="left" w:pos="6960"/>
        </w:tabs>
        <w:ind w:left="-510"/>
        <w:rPr>
          <w:rFonts w:asciiTheme="minorHAnsi" w:hAnsiTheme="minorHAnsi" w:cs="Arial"/>
          <w:sz w:val="22"/>
          <w:szCs w:val="22"/>
        </w:rPr>
      </w:pPr>
    </w:p>
    <w:p w:rsidR="00126454" w:rsidRPr="003A5122" w:rsidRDefault="00126454" w:rsidP="003A5122">
      <w:pPr>
        <w:tabs>
          <w:tab w:val="left" w:pos="6960"/>
        </w:tabs>
        <w:spacing w:line="276" w:lineRule="auto"/>
        <w:ind w:left="-510"/>
        <w:jc w:val="both"/>
        <w:rPr>
          <w:rFonts w:ascii="Calibri" w:hAnsi="Calibri" w:cs="Arial"/>
          <w:bCs/>
          <w:sz w:val="22"/>
          <w:szCs w:val="22"/>
        </w:rPr>
      </w:pPr>
      <w:r w:rsidRPr="003A5122">
        <w:rPr>
          <w:rFonts w:ascii="Calibri" w:hAnsi="Calibri" w:cs="Arial"/>
          <w:b/>
          <w:bCs/>
          <w:sz w:val="22"/>
          <w:szCs w:val="22"/>
        </w:rPr>
        <w:t xml:space="preserve">Mimo poprawy wciąż jest niska jakość portfela kredytowego. </w:t>
      </w:r>
      <w:r w:rsidRPr="003A5122">
        <w:rPr>
          <w:rFonts w:ascii="Calibri" w:hAnsi="Calibri" w:cs="Arial"/>
          <w:bCs/>
          <w:sz w:val="22"/>
          <w:szCs w:val="22"/>
        </w:rPr>
        <w:t>W 1H’13 Bank Spółdzielczy w Limanowej wypracował 10,8 mln PLN zysku z działalności bankowej i 0,8 mln PLN zysku netto</w:t>
      </w:r>
      <w:r w:rsidR="003A5122" w:rsidRPr="003A5122">
        <w:rPr>
          <w:rFonts w:ascii="Calibri" w:hAnsi="Calibri" w:cs="Arial"/>
          <w:bCs/>
          <w:sz w:val="22"/>
          <w:szCs w:val="22"/>
        </w:rPr>
        <w:t>.</w:t>
      </w:r>
    </w:p>
    <w:p w:rsidR="00126454" w:rsidRDefault="003A5122" w:rsidP="00BB134C">
      <w:pPr>
        <w:tabs>
          <w:tab w:val="left" w:pos="6960"/>
        </w:tabs>
        <w:ind w:left="-510"/>
        <w:rPr>
          <w:rFonts w:asciiTheme="minorHAnsi" w:hAnsiTheme="minorHAnsi" w:cs="Arial"/>
          <w:sz w:val="26"/>
          <w:szCs w:val="26"/>
        </w:rPr>
      </w:pPr>
      <w:r>
        <w:rPr>
          <w:rFonts w:asciiTheme="minorHAnsi" w:hAnsiTheme="minorHAnsi" w:cs="Arial"/>
          <w:noProof/>
          <w:sz w:val="26"/>
          <w:szCs w:val="26"/>
        </w:rPr>
        <w:drawing>
          <wp:anchor distT="0" distB="0" distL="114300" distR="114300" simplePos="0" relativeHeight="251661824" behindDoc="1" locked="0" layoutInCell="1" allowOverlap="1">
            <wp:simplePos x="0" y="0"/>
            <wp:positionH relativeFrom="column">
              <wp:posOffset>3134360</wp:posOffset>
            </wp:positionH>
            <wp:positionV relativeFrom="paragraph">
              <wp:posOffset>153670</wp:posOffset>
            </wp:positionV>
            <wp:extent cx="3457575" cy="2124075"/>
            <wp:effectExtent l="19050" t="0" r="9525" b="0"/>
            <wp:wrapNone/>
            <wp:docPr id="35"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cstate="print"/>
                    <a:srcRect/>
                    <a:stretch>
                      <a:fillRect/>
                    </a:stretch>
                  </pic:blipFill>
                  <pic:spPr bwMode="auto">
                    <a:xfrm>
                      <a:off x="0" y="0"/>
                      <a:ext cx="3457575" cy="2124075"/>
                    </a:xfrm>
                    <a:prstGeom prst="rect">
                      <a:avLst/>
                    </a:prstGeom>
                    <a:noFill/>
                    <a:ln w="9525">
                      <a:noFill/>
                      <a:miter lim="800000"/>
                      <a:headEnd/>
                      <a:tailEnd/>
                    </a:ln>
                  </pic:spPr>
                </pic:pic>
              </a:graphicData>
            </a:graphic>
          </wp:anchor>
        </w:drawing>
      </w:r>
      <w:r>
        <w:rPr>
          <w:rFonts w:asciiTheme="minorHAnsi" w:hAnsiTheme="minorHAnsi" w:cs="Arial"/>
          <w:noProof/>
          <w:sz w:val="26"/>
          <w:szCs w:val="26"/>
        </w:rPr>
        <w:drawing>
          <wp:anchor distT="0" distB="0" distL="114300" distR="114300" simplePos="0" relativeHeight="251662848" behindDoc="1" locked="0" layoutInCell="1" allowOverlap="1">
            <wp:simplePos x="0" y="0"/>
            <wp:positionH relativeFrom="column">
              <wp:posOffset>-389890</wp:posOffset>
            </wp:positionH>
            <wp:positionV relativeFrom="paragraph">
              <wp:posOffset>153670</wp:posOffset>
            </wp:positionV>
            <wp:extent cx="3524250" cy="2095500"/>
            <wp:effectExtent l="19050" t="0" r="0" b="0"/>
            <wp:wrapNone/>
            <wp:docPr id="34"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cstate="print"/>
                    <a:srcRect/>
                    <a:stretch>
                      <a:fillRect/>
                    </a:stretch>
                  </pic:blipFill>
                  <pic:spPr bwMode="auto">
                    <a:xfrm>
                      <a:off x="0" y="0"/>
                      <a:ext cx="3524250" cy="2095500"/>
                    </a:xfrm>
                    <a:prstGeom prst="rect">
                      <a:avLst/>
                    </a:prstGeom>
                    <a:noFill/>
                    <a:ln w="9525">
                      <a:noFill/>
                      <a:miter lim="800000"/>
                      <a:headEnd/>
                      <a:tailEnd/>
                    </a:ln>
                  </pic:spPr>
                </pic:pic>
              </a:graphicData>
            </a:graphic>
          </wp:anchor>
        </w:drawing>
      </w:r>
    </w:p>
    <w:p w:rsidR="00126454" w:rsidRDefault="00126454" w:rsidP="00BB134C">
      <w:pPr>
        <w:tabs>
          <w:tab w:val="left" w:pos="6960"/>
        </w:tabs>
        <w:ind w:left="-510"/>
        <w:rPr>
          <w:rFonts w:asciiTheme="minorHAnsi" w:hAnsiTheme="minorHAnsi" w:cs="Arial"/>
          <w:sz w:val="26"/>
          <w:szCs w:val="26"/>
        </w:rPr>
      </w:pPr>
    </w:p>
    <w:p w:rsidR="003A5122" w:rsidRDefault="003A5122" w:rsidP="00BB134C">
      <w:pPr>
        <w:tabs>
          <w:tab w:val="left" w:pos="6960"/>
        </w:tabs>
        <w:ind w:left="-510"/>
        <w:rPr>
          <w:rFonts w:asciiTheme="minorHAnsi" w:hAnsiTheme="minorHAnsi" w:cs="Arial"/>
          <w:sz w:val="26"/>
          <w:szCs w:val="26"/>
        </w:rPr>
      </w:pPr>
    </w:p>
    <w:p w:rsidR="003A5122" w:rsidRDefault="003A5122" w:rsidP="00BB134C">
      <w:pPr>
        <w:tabs>
          <w:tab w:val="left" w:pos="6960"/>
        </w:tabs>
        <w:ind w:left="-510"/>
        <w:rPr>
          <w:rFonts w:asciiTheme="minorHAnsi" w:hAnsiTheme="minorHAnsi" w:cs="Arial"/>
          <w:sz w:val="26"/>
          <w:szCs w:val="26"/>
        </w:rPr>
      </w:pPr>
    </w:p>
    <w:p w:rsidR="003A5122" w:rsidRDefault="003A5122" w:rsidP="00BB134C">
      <w:pPr>
        <w:tabs>
          <w:tab w:val="left" w:pos="6960"/>
        </w:tabs>
        <w:ind w:left="-510"/>
        <w:rPr>
          <w:rFonts w:asciiTheme="minorHAnsi" w:hAnsiTheme="minorHAnsi" w:cs="Arial"/>
          <w:sz w:val="26"/>
          <w:szCs w:val="26"/>
        </w:rPr>
      </w:pPr>
    </w:p>
    <w:p w:rsidR="003A5122" w:rsidRDefault="003A5122" w:rsidP="00BB134C">
      <w:pPr>
        <w:tabs>
          <w:tab w:val="left" w:pos="6960"/>
        </w:tabs>
        <w:ind w:left="-510"/>
        <w:rPr>
          <w:rFonts w:asciiTheme="minorHAnsi" w:hAnsiTheme="minorHAnsi" w:cs="Arial"/>
          <w:sz w:val="26"/>
          <w:szCs w:val="26"/>
        </w:rPr>
      </w:pPr>
    </w:p>
    <w:p w:rsidR="003A5122" w:rsidRDefault="003A5122" w:rsidP="00BB134C">
      <w:pPr>
        <w:tabs>
          <w:tab w:val="left" w:pos="6960"/>
        </w:tabs>
        <w:ind w:left="-510"/>
        <w:rPr>
          <w:rFonts w:asciiTheme="minorHAnsi" w:hAnsiTheme="minorHAnsi" w:cs="Arial"/>
          <w:sz w:val="26"/>
          <w:szCs w:val="26"/>
        </w:rPr>
      </w:pPr>
    </w:p>
    <w:p w:rsidR="003A5122" w:rsidRDefault="003A5122" w:rsidP="00BB134C">
      <w:pPr>
        <w:tabs>
          <w:tab w:val="left" w:pos="6960"/>
        </w:tabs>
        <w:ind w:left="-510"/>
        <w:rPr>
          <w:rFonts w:asciiTheme="minorHAnsi" w:hAnsiTheme="minorHAnsi" w:cs="Arial"/>
          <w:sz w:val="26"/>
          <w:szCs w:val="26"/>
        </w:rPr>
      </w:pPr>
    </w:p>
    <w:p w:rsidR="003A5122" w:rsidRDefault="003A5122" w:rsidP="00BB134C">
      <w:pPr>
        <w:tabs>
          <w:tab w:val="left" w:pos="6960"/>
        </w:tabs>
        <w:ind w:left="-510"/>
        <w:rPr>
          <w:rFonts w:asciiTheme="minorHAnsi" w:hAnsiTheme="minorHAnsi" w:cs="Arial"/>
          <w:sz w:val="26"/>
          <w:szCs w:val="26"/>
        </w:rPr>
      </w:pPr>
    </w:p>
    <w:p w:rsidR="003A5122" w:rsidRDefault="003A5122" w:rsidP="00BB134C">
      <w:pPr>
        <w:tabs>
          <w:tab w:val="left" w:pos="6960"/>
        </w:tabs>
        <w:ind w:left="-510"/>
        <w:rPr>
          <w:rFonts w:asciiTheme="minorHAnsi" w:hAnsiTheme="minorHAnsi" w:cs="Arial"/>
          <w:sz w:val="26"/>
          <w:szCs w:val="26"/>
        </w:rPr>
      </w:pPr>
    </w:p>
    <w:p w:rsidR="003A5122" w:rsidRDefault="003A5122" w:rsidP="00BB134C">
      <w:pPr>
        <w:tabs>
          <w:tab w:val="left" w:pos="6960"/>
        </w:tabs>
        <w:ind w:left="-510"/>
        <w:rPr>
          <w:rFonts w:asciiTheme="minorHAnsi" w:hAnsiTheme="minorHAnsi" w:cs="Arial"/>
          <w:sz w:val="26"/>
          <w:szCs w:val="26"/>
        </w:rPr>
      </w:pPr>
    </w:p>
    <w:p w:rsidR="003A5122" w:rsidRDefault="003A5122" w:rsidP="00BB134C">
      <w:pPr>
        <w:tabs>
          <w:tab w:val="left" w:pos="6960"/>
        </w:tabs>
        <w:ind w:left="-510"/>
        <w:rPr>
          <w:rFonts w:asciiTheme="minorHAnsi" w:hAnsiTheme="minorHAnsi" w:cs="Arial"/>
          <w:sz w:val="26"/>
          <w:szCs w:val="26"/>
        </w:rPr>
      </w:pPr>
    </w:p>
    <w:p w:rsidR="009870BB" w:rsidRPr="003A5122" w:rsidRDefault="009870BB" w:rsidP="009870BB">
      <w:pPr>
        <w:numPr>
          <w:ilvl w:val="0"/>
          <w:numId w:val="32"/>
        </w:numPr>
        <w:spacing w:line="276" w:lineRule="auto"/>
        <w:ind w:left="-567" w:firstLine="0"/>
        <w:jc w:val="both"/>
        <w:rPr>
          <w:rFonts w:ascii="Calibri" w:hAnsi="Calibri" w:cs="Arial"/>
          <w:bCs/>
          <w:sz w:val="22"/>
          <w:szCs w:val="22"/>
        </w:rPr>
      </w:pPr>
      <w:r w:rsidRPr="003A5122">
        <w:rPr>
          <w:rFonts w:ascii="Calibri" w:hAnsi="Calibri" w:cs="Arial"/>
          <w:bCs/>
          <w:sz w:val="22"/>
          <w:szCs w:val="22"/>
        </w:rPr>
        <w:t xml:space="preserve">Wartość portfela kredytowego banku wzrosła o 11,6% r/r, ale pozytywny wpływ tego czynnik na wynik odsetkowy został zneutralizowany przez spadek stóp procentowych. W efekcie przychody odsetkowe były na poziomie zbliżonym do tego sprzed roku. W warunkach zwiększenia bazy depozytowej wynik odsetkowy znalazł się pod presją. </w:t>
      </w:r>
      <w:r w:rsidRPr="003A5122">
        <w:rPr>
          <w:rFonts w:ascii="Calibri" w:hAnsi="Calibri" w:cs="Arial"/>
          <w:b/>
          <w:bCs/>
          <w:sz w:val="22"/>
          <w:szCs w:val="22"/>
        </w:rPr>
        <w:t>Marża odsetkowa netto banku obniżyła się</w:t>
      </w:r>
      <w:r w:rsidRPr="003A5122">
        <w:rPr>
          <w:rFonts w:ascii="Calibri" w:hAnsi="Calibri" w:cs="Arial"/>
          <w:bCs/>
          <w:sz w:val="22"/>
          <w:szCs w:val="22"/>
        </w:rPr>
        <w:t xml:space="preserve"> o 0,4 p.p. do 3,6%;</w:t>
      </w:r>
    </w:p>
    <w:p w:rsidR="009870BB" w:rsidRPr="003A5122" w:rsidRDefault="009870BB" w:rsidP="009870BB">
      <w:pPr>
        <w:numPr>
          <w:ilvl w:val="0"/>
          <w:numId w:val="32"/>
        </w:numPr>
        <w:spacing w:line="276" w:lineRule="auto"/>
        <w:ind w:left="-567" w:firstLine="0"/>
        <w:jc w:val="both"/>
        <w:rPr>
          <w:rFonts w:ascii="Calibri" w:hAnsi="Calibri" w:cs="Arial"/>
          <w:bCs/>
          <w:sz w:val="22"/>
          <w:szCs w:val="22"/>
        </w:rPr>
      </w:pPr>
      <w:r w:rsidRPr="003A5122">
        <w:rPr>
          <w:rFonts w:ascii="Calibri" w:hAnsi="Calibri" w:cs="Arial"/>
          <w:b/>
          <w:bCs/>
          <w:sz w:val="22"/>
          <w:szCs w:val="22"/>
        </w:rPr>
        <w:t>Koszty działania wzrosły nieznacznie</w:t>
      </w:r>
      <w:r w:rsidRPr="003A5122">
        <w:rPr>
          <w:rFonts w:ascii="Calibri" w:hAnsi="Calibri" w:cs="Arial"/>
          <w:bCs/>
          <w:sz w:val="22"/>
          <w:szCs w:val="22"/>
        </w:rPr>
        <w:t xml:space="preserve">, co jest pozytywne mając na uwadze zwiększenie skali działalności. Jednak w warunkach pogorszenia wyniku na działalności bankowej (głównie przez słabszy wynik odsetkowy) efektywność kosztowa pogorszyła się, a </w:t>
      </w:r>
      <w:r w:rsidRPr="003A5122">
        <w:rPr>
          <w:rFonts w:ascii="Calibri" w:hAnsi="Calibri" w:cs="Arial"/>
          <w:b/>
          <w:bCs/>
          <w:sz w:val="22"/>
          <w:szCs w:val="22"/>
        </w:rPr>
        <w:t>relacja kosztów do dochodów jest wysoka</w:t>
      </w:r>
      <w:r w:rsidRPr="003A5122">
        <w:rPr>
          <w:rFonts w:ascii="Calibri" w:hAnsi="Calibri" w:cs="Arial"/>
          <w:bCs/>
          <w:sz w:val="22"/>
          <w:szCs w:val="22"/>
        </w:rPr>
        <w:t xml:space="preserve"> i wynosi 81,7%;</w:t>
      </w:r>
    </w:p>
    <w:p w:rsidR="009870BB" w:rsidRPr="003A5122" w:rsidRDefault="009870BB" w:rsidP="009870BB">
      <w:pPr>
        <w:numPr>
          <w:ilvl w:val="0"/>
          <w:numId w:val="32"/>
        </w:numPr>
        <w:spacing w:line="276" w:lineRule="auto"/>
        <w:ind w:left="-567" w:firstLine="0"/>
        <w:jc w:val="both"/>
        <w:rPr>
          <w:rFonts w:ascii="Calibri" w:hAnsi="Calibri" w:cs="Arial"/>
          <w:bCs/>
          <w:sz w:val="22"/>
          <w:szCs w:val="22"/>
        </w:rPr>
      </w:pPr>
      <w:r w:rsidRPr="003A5122">
        <w:rPr>
          <w:rFonts w:ascii="Calibri" w:hAnsi="Calibri" w:cs="Arial"/>
          <w:bCs/>
          <w:sz w:val="22"/>
          <w:szCs w:val="22"/>
        </w:rPr>
        <w:t>Dodatkowo negatywnie na wynik brutto wpłynęły zwiększone odpisy (dwa razy wyższe niż przed rokiem);</w:t>
      </w:r>
    </w:p>
    <w:p w:rsidR="009870BB" w:rsidRPr="003A5122" w:rsidRDefault="009870BB" w:rsidP="009870BB">
      <w:pPr>
        <w:numPr>
          <w:ilvl w:val="0"/>
          <w:numId w:val="32"/>
        </w:numPr>
        <w:spacing w:line="276" w:lineRule="auto"/>
        <w:ind w:left="-567" w:firstLine="0"/>
        <w:jc w:val="both"/>
        <w:rPr>
          <w:rFonts w:ascii="Calibri" w:hAnsi="Calibri" w:cs="Arial"/>
          <w:bCs/>
          <w:sz w:val="22"/>
          <w:szCs w:val="22"/>
        </w:rPr>
      </w:pPr>
      <w:r w:rsidRPr="003A5122">
        <w:rPr>
          <w:rFonts w:ascii="Calibri" w:hAnsi="Calibri" w:cs="Arial"/>
          <w:b/>
          <w:bCs/>
          <w:sz w:val="22"/>
          <w:szCs w:val="22"/>
        </w:rPr>
        <w:t>Jakość portfela kredytowego jest niska</w:t>
      </w:r>
      <w:r w:rsidRPr="003A5122">
        <w:rPr>
          <w:rFonts w:ascii="Calibri" w:hAnsi="Calibri" w:cs="Arial"/>
          <w:bCs/>
          <w:sz w:val="22"/>
          <w:szCs w:val="22"/>
        </w:rPr>
        <w:t xml:space="preserve">. Udział kredytów zagrożonych w strukturze kredytów ogółem wynosi 11,7%, ale w porównaniu do danych historycznych poprawiła się; </w:t>
      </w:r>
    </w:p>
    <w:p w:rsidR="009870BB" w:rsidRPr="003A5122" w:rsidRDefault="009870BB" w:rsidP="009870BB">
      <w:pPr>
        <w:numPr>
          <w:ilvl w:val="0"/>
          <w:numId w:val="32"/>
        </w:numPr>
        <w:spacing w:line="276" w:lineRule="auto"/>
        <w:ind w:left="-567" w:firstLine="0"/>
        <w:jc w:val="both"/>
        <w:rPr>
          <w:rFonts w:ascii="Calibri" w:hAnsi="Calibri" w:cs="Arial"/>
          <w:bCs/>
          <w:sz w:val="22"/>
          <w:szCs w:val="22"/>
        </w:rPr>
      </w:pPr>
      <w:r w:rsidRPr="003A5122">
        <w:rPr>
          <w:rFonts w:ascii="Calibri" w:hAnsi="Calibri" w:cs="Arial"/>
          <w:bCs/>
          <w:sz w:val="22"/>
          <w:szCs w:val="22"/>
        </w:rPr>
        <w:t>Współczynnik wypłacalności banku lekko wzrósł (12,59%) i ukształtował się na poziomie powyżej wartości rekomendowanej przez KNF (12%);</w:t>
      </w:r>
    </w:p>
    <w:p w:rsidR="009870BB" w:rsidRPr="003A5122" w:rsidRDefault="009870BB" w:rsidP="009870BB">
      <w:pPr>
        <w:pStyle w:val="Akapitzlist"/>
        <w:numPr>
          <w:ilvl w:val="0"/>
          <w:numId w:val="32"/>
        </w:numPr>
        <w:tabs>
          <w:tab w:val="left" w:pos="-142"/>
        </w:tabs>
        <w:ind w:left="-567" w:firstLine="0"/>
        <w:jc w:val="both"/>
        <w:rPr>
          <w:rFonts w:cs="Arial"/>
        </w:rPr>
      </w:pPr>
      <w:r w:rsidRPr="003A5122">
        <w:rPr>
          <w:rFonts w:cs="Arial"/>
          <w:bCs/>
        </w:rPr>
        <w:t>Wszystkie nadzorcze normy płynności zostały spełnione.</w:t>
      </w:r>
    </w:p>
    <w:p w:rsidR="00CF2B28" w:rsidRDefault="00CF2B28">
      <w:pPr>
        <w:rPr>
          <w:rFonts w:asciiTheme="minorHAnsi" w:hAnsiTheme="minorHAnsi" w:cs="Arial"/>
          <w:sz w:val="20"/>
          <w:szCs w:val="20"/>
        </w:rPr>
      </w:pPr>
      <w:r>
        <w:rPr>
          <w:rFonts w:asciiTheme="minorHAnsi" w:hAnsiTheme="minorHAnsi" w:cs="Arial"/>
          <w:sz w:val="20"/>
          <w:szCs w:val="20"/>
        </w:rPr>
        <w:br w:type="page"/>
      </w:r>
    </w:p>
    <w:p w:rsidR="00BB134C" w:rsidRPr="00636E50" w:rsidRDefault="00126454" w:rsidP="00636E50">
      <w:pPr>
        <w:pStyle w:val="Nagwek1"/>
      </w:pPr>
      <w:bookmarkStart w:id="16" w:name="_Toc368572366"/>
      <w:r w:rsidRPr="00636E50">
        <w:lastRenderedPageBreak/>
        <w:t>SPÓŁDZIELCZY BANK ROZWOJU W SZEPIETOWIE</w:t>
      </w:r>
      <w:bookmarkEnd w:id="16"/>
    </w:p>
    <w:p w:rsidR="00A241C1" w:rsidRPr="00366A2D" w:rsidRDefault="00A241C1" w:rsidP="00BB134C">
      <w:pPr>
        <w:tabs>
          <w:tab w:val="left" w:pos="6960"/>
        </w:tabs>
        <w:ind w:left="-510"/>
        <w:rPr>
          <w:rFonts w:asciiTheme="minorHAnsi" w:hAnsiTheme="minorHAnsi" w:cs="Arial"/>
          <w:sz w:val="18"/>
          <w:szCs w:val="18"/>
        </w:rPr>
      </w:pPr>
    </w:p>
    <w:tbl>
      <w:tblPr>
        <w:tblW w:w="3979" w:type="dxa"/>
        <w:tblInd w:w="60" w:type="dxa"/>
        <w:tblCellMar>
          <w:left w:w="70" w:type="dxa"/>
          <w:right w:w="70" w:type="dxa"/>
        </w:tblCellMar>
        <w:tblLook w:val="04A0"/>
      </w:tblPr>
      <w:tblGrid>
        <w:gridCol w:w="2600"/>
        <w:gridCol w:w="546"/>
        <w:gridCol w:w="833"/>
      </w:tblGrid>
      <w:tr w:rsidR="009F57B5" w:rsidTr="009057F0">
        <w:trPr>
          <w:trHeight w:val="252"/>
        </w:trPr>
        <w:tc>
          <w:tcPr>
            <w:tcW w:w="2600" w:type="dxa"/>
            <w:tcBorders>
              <w:top w:val="single" w:sz="8" w:space="0" w:color="FFFFFF"/>
              <w:left w:val="single" w:sz="8" w:space="0" w:color="FFFFFF"/>
              <w:bottom w:val="single" w:sz="8" w:space="0" w:color="1EAA82"/>
              <w:right w:val="nil"/>
            </w:tcBorders>
            <w:shd w:val="clear" w:color="000000" w:fill="FFFFFF"/>
            <w:vAlign w:val="center"/>
            <w:hideMark/>
          </w:tcPr>
          <w:p w:rsidR="009F57B5" w:rsidRDefault="009F57B5" w:rsidP="009057F0">
            <w:pPr>
              <w:rPr>
                <w:rFonts w:ascii="Calibri" w:hAnsi="Calibri" w:cs="Calibri"/>
                <w:b/>
                <w:bCs/>
                <w:color w:val="000000"/>
                <w:sz w:val="18"/>
                <w:szCs w:val="18"/>
              </w:rPr>
            </w:pPr>
            <w:r>
              <w:rPr>
                <w:rFonts w:ascii="Calibri" w:hAnsi="Calibri" w:cs="Calibri"/>
                <w:b/>
                <w:bCs/>
                <w:color w:val="000000"/>
                <w:sz w:val="18"/>
                <w:szCs w:val="18"/>
              </w:rPr>
              <w:t>Podstawowe dane</w:t>
            </w:r>
          </w:p>
        </w:tc>
        <w:tc>
          <w:tcPr>
            <w:tcW w:w="546" w:type="dxa"/>
            <w:tcBorders>
              <w:top w:val="single" w:sz="8" w:space="0" w:color="FFFFFF"/>
              <w:left w:val="nil"/>
              <w:bottom w:val="single" w:sz="8" w:space="0" w:color="1EAA82"/>
              <w:right w:val="single" w:sz="8" w:space="0" w:color="FFFFFF"/>
            </w:tcBorders>
            <w:shd w:val="clear" w:color="000000" w:fill="FFFFFF"/>
            <w:vAlign w:val="center"/>
            <w:hideMark/>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2012 </w:t>
            </w:r>
          </w:p>
        </w:tc>
        <w:tc>
          <w:tcPr>
            <w:tcW w:w="833" w:type="dxa"/>
            <w:tcBorders>
              <w:top w:val="single" w:sz="8" w:space="0" w:color="FFFFFF"/>
              <w:left w:val="nil"/>
              <w:bottom w:val="single" w:sz="8" w:space="0" w:color="1EAA82"/>
              <w:right w:val="single" w:sz="8" w:space="0" w:color="FFFFFF"/>
            </w:tcBorders>
            <w:shd w:val="clear" w:color="000000" w:fill="FFFFFF"/>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1H’13</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Suma bilansowa [mln PLN]</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459</w:t>
            </w:r>
          </w:p>
        </w:tc>
        <w:tc>
          <w:tcPr>
            <w:tcW w:w="833" w:type="dxa"/>
            <w:tcBorders>
              <w:top w:val="nil"/>
              <w:left w:val="nil"/>
              <w:bottom w:val="nil"/>
              <w:right w:val="nil"/>
            </w:tcBorders>
            <w:shd w:val="clear" w:color="000000" w:fill="FFFFFF"/>
          </w:tcPr>
          <w:p w:rsidR="009F57B5" w:rsidRDefault="00CA15AD" w:rsidP="009057F0">
            <w:pPr>
              <w:jc w:val="right"/>
              <w:rPr>
                <w:rFonts w:ascii="Calibri" w:hAnsi="Calibri" w:cs="Calibri"/>
                <w:color w:val="000000"/>
                <w:sz w:val="18"/>
                <w:szCs w:val="18"/>
              </w:rPr>
            </w:pPr>
            <w:r>
              <w:rPr>
                <w:rFonts w:ascii="Calibri" w:hAnsi="Calibri" w:cs="Calibri"/>
                <w:color w:val="000000"/>
                <w:sz w:val="18"/>
                <w:szCs w:val="18"/>
              </w:rPr>
              <w:t>551</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Kapitały własne [mln PLN]</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29</w:t>
            </w:r>
          </w:p>
        </w:tc>
        <w:tc>
          <w:tcPr>
            <w:tcW w:w="833" w:type="dxa"/>
            <w:tcBorders>
              <w:top w:val="nil"/>
              <w:left w:val="nil"/>
              <w:bottom w:val="nil"/>
              <w:right w:val="nil"/>
            </w:tcBorders>
            <w:shd w:val="clear" w:color="000000" w:fill="FFFFFF"/>
          </w:tcPr>
          <w:p w:rsidR="009F57B5" w:rsidRDefault="00CA15AD" w:rsidP="009057F0">
            <w:pPr>
              <w:jc w:val="right"/>
              <w:rPr>
                <w:rFonts w:ascii="Calibri" w:hAnsi="Calibri" w:cs="Calibri"/>
                <w:color w:val="000000"/>
                <w:sz w:val="18"/>
                <w:szCs w:val="18"/>
              </w:rPr>
            </w:pPr>
            <w:r>
              <w:rPr>
                <w:rFonts w:ascii="Calibri" w:hAnsi="Calibri" w:cs="Calibri"/>
                <w:color w:val="000000"/>
                <w:sz w:val="18"/>
                <w:szCs w:val="18"/>
              </w:rPr>
              <w:t>33</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 xml:space="preserve">Współczynnik wypłacalności [%]                      </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8,2</w:t>
            </w:r>
          </w:p>
        </w:tc>
        <w:tc>
          <w:tcPr>
            <w:tcW w:w="833" w:type="dxa"/>
            <w:tcBorders>
              <w:top w:val="nil"/>
              <w:left w:val="nil"/>
              <w:bottom w:val="nil"/>
              <w:right w:val="nil"/>
            </w:tcBorders>
            <w:shd w:val="clear" w:color="000000" w:fill="FFFFFF"/>
          </w:tcPr>
          <w:p w:rsidR="009F57B5" w:rsidRDefault="00CA15AD" w:rsidP="009057F0">
            <w:pPr>
              <w:jc w:val="right"/>
              <w:rPr>
                <w:rFonts w:ascii="Calibri" w:hAnsi="Calibri" w:cs="Calibri"/>
                <w:color w:val="000000"/>
                <w:sz w:val="18"/>
                <w:szCs w:val="18"/>
              </w:rPr>
            </w:pPr>
            <w:r>
              <w:rPr>
                <w:rFonts w:ascii="Calibri" w:hAnsi="Calibri" w:cs="Calibri"/>
                <w:color w:val="000000"/>
                <w:sz w:val="18"/>
                <w:szCs w:val="18"/>
              </w:rPr>
              <w:t>9,0</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C/I [%]</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56,6</w:t>
            </w:r>
          </w:p>
        </w:tc>
        <w:tc>
          <w:tcPr>
            <w:tcW w:w="833" w:type="dxa"/>
            <w:tcBorders>
              <w:top w:val="nil"/>
              <w:left w:val="nil"/>
              <w:bottom w:val="nil"/>
              <w:right w:val="nil"/>
            </w:tcBorders>
            <w:shd w:val="clear" w:color="000000" w:fill="FFFFFF"/>
          </w:tcPr>
          <w:p w:rsidR="009F57B5" w:rsidRDefault="00CA15AD" w:rsidP="009057F0">
            <w:pPr>
              <w:jc w:val="right"/>
              <w:rPr>
                <w:rFonts w:ascii="Calibri" w:hAnsi="Calibri" w:cs="Calibri"/>
                <w:color w:val="000000"/>
                <w:sz w:val="18"/>
                <w:szCs w:val="18"/>
              </w:rPr>
            </w:pPr>
            <w:r>
              <w:rPr>
                <w:rFonts w:ascii="Calibri" w:hAnsi="Calibri" w:cs="Calibri"/>
                <w:color w:val="000000"/>
                <w:sz w:val="18"/>
                <w:szCs w:val="18"/>
              </w:rPr>
              <w:t>59,1</w:t>
            </w:r>
          </w:p>
        </w:tc>
      </w:tr>
    </w:tbl>
    <w:p w:rsidR="009F57B5" w:rsidRPr="00366A2D" w:rsidRDefault="009F57B5" w:rsidP="00BB134C">
      <w:pPr>
        <w:tabs>
          <w:tab w:val="left" w:pos="6960"/>
        </w:tabs>
        <w:ind w:left="-510"/>
        <w:rPr>
          <w:rFonts w:asciiTheme="minorHAnsi" w:hAnsiTheme="minorHAnsi" w:cs="Arial"/>
          <w:sz w:val="20"/>
          <w:szCs w:val="20"/>
        </w:rPr>
      </w:pPr>
    </w:p>
    <w:p w:rsidR="00A241C1" w:rsidRDefault="00A241C1" w:rsidP="00BB134C">
      <w:pPr>
        <w:tabs>
          <w:tab w:val="left" w:pos="6960"/>
        </w:tabs>
        <w:ind w:left="-510"/>
        <w:rPr>
          <w:rFonts w:ascii="Calibri" w:hAnsi="Calibri" w:cs="Arial"/>
          <w:bCs/>
          <w:sz w:val="20"/>
          <w:szCs w:val="20"/>
        </w:rPr>
      </w:pPr>
      <w:r w:rsidRPr="00FE3AC1">
        <w:rPr>
          <w:rFonts w:ascii="Calibri" w:hAnsi="Calibri" w:cs="Arial"/>
          <w:b/>
          <w:bCs/>
          <w:sz w:val="20"/>
          <w:szCs w:val="20"/>
        </w:rPr>
        <w:t xml:space="preserve">Poprawa wyniku netto i </w:t>
      </w:r>
      <w:r>
        <w:rPr>
          <w:rFonts w:ascii="Calibri" w:hAnsi="Calibri" w:cs="Arial"/>
          <w:b/>
          <w:bCs/>
          <w:sz w:val="20"/>
          <w:szCs w:val="20"/>
        </w:rPr>
        <w:t>pogorszenie jakości</w:t>
      </w:r>
      <w:r w:rsidRPr="00FE3AC1">
        <w:rPr>
          <w:rFonts w:ascii="Calibri" w:hAnsi="Calibri" w:cs="Arial"/>
          <w:b/>
          <w:bCs/>
          <w:sz w:val="20"/>
          <w:szCs w:val="20"/>
        </w:rPr>
        <w:t xml:space="preserve"> portfela kredytowego SBR Banku.</w:t>
      </w:r>
      <w:r>
        <w:rPr>
          <w:rFonts w:ascii="Calibri" w:hAnsi="Calibri" w:cs="Arial"/>
          <w:bCs/>
          <w:sz w:val="20"/>
          <w:szCs w:val="20"/>
        </w:rPr>
        <w:t xml:space="preserve"> </w:t>
      </w:r>
      <w:r w:rsidRPr="00767619">
        <w:rPr>
          <w:rFonts w:ascii="Calibri" w:hAnsi="Calibri" w:cs="Arial"/>
          <w:bCs/>
          <w:sz w:val="20"/>
          <w:szCs w:val="20"/>
        </w:rPr>
        <w:t>W 1H’13 Spółdzielczy Bank Rozwoju w Szepietowie wypracował 9,5 mln PLN zysku na działalności bankowej i 3,3 mln PLN zysku netto</w:t>
      </w:r>
      <w:r>
        <w:rPr>
          <w:rFonts w:ascii="Calibri" w:hAnsi="Calibri" w:cs="Arial"/>
          <w:bCs/>
          <w:sz w:val="20"/>
          <w:szCs w:val="20"/>
        </w:rPr>
        <w:t>.</w:t>
      </w:r>
    </w:p>
    <w:p w:rsidR="00A241C1" w:rsidRDefault="00A241C1" w:rsidP="00BB134C">
      <w:pPr>
        <w:tabs>
          <w:tab w:val="left" w:pos="6960"/>
        </w:tabs>
        <w:ind w:left="-510"/>
        <w:rPr>
          <w:rFonts w:asciiTheme="minorHAnsi" w:hAnsiTheme="minorHAnsi" w:cs="Arial"/>
          <w:sz w:val="26"/>
          <w:szCs w:val="26"/>
        </w:rPr>
      </w:pPr>
      <w:r>
        <w:rPr>
          <w:rFonts w:asciiTheme="minorHAnsi" w:hAnsiTheme="minorHAnsi" w:cs="Arial"/>
          <w:noProof/>
          <w:sz w:val="26"/>
          <w:szCs w:val="26"/>
        </w:rPr>
        <w:drawing>
          <wp:anchor distT="0" distB="0" distL="114300" distR="114300" simplePos="0" relativeHeight="251672064" behindDoc="1" locked="0" layoutInCell="1" allowOverlap="1">
            <wp:simplePos x="0" y="0"/>
            <wp:positionH relativeFrom="column">
              <wp:posOffset>-370840</wp:posOffset>
            </wp:positionH>
            <wp:positionV relativeFrom="paragraph">
              <wp:posOffset>134620</wp:posOffset>
            </wp:positionV>
            <wp:extent cx="3524250" cy="2333625"/>
            <wp:effectExtent l="19050" t="0" r="0" b="0"/>
            <wp:wrapNone/>
            <wp:docPr id="44"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cstate="print"/>
                    <a:srcRect/>
                    <a:stretch>
                      <a:fillRect/>
                    </a:stretch>
                  </pic:blipFill>
                  <pic:spPr bwMode="auto">
                    <a:xfrm>
                      <a:off x="0" y="0"/>
                      <a:ext cx="3524250" cy="2333625"/>
                    </a:xfrm>
                    <a:prstGeom prst="rect">
                      <a:avLst/>
                    </a:prstGeom>
                    <a:noFill/>
                    <a:ln w="9525">
                      <a:noFill/>
                      <a:miter lim="800000"/>
                      <a:headEnd/>
                      <a:tailEnd/>
                    </a:ln>
                  </pic:spPr>
                </pic:pic>
              </a:graphicData>
            </a:graphic>
          </wp:anchor>
        </w:drawing>
      </w:r>
    </w:p>
    <w:p w:rsidR="00A241C1" w:rsidRDefault="00A241C1" w:rsidP="00BB134C">
      <w:pPr>
        <w:tabs>
          <w:tab w:val="left" w:pos="6960"/>
        </w:tabs>
        <w:ind w:left="-510"/>
        <w:rPr>
          <w:rFonts w:asciiTheme="minorHAnsi" w:hAnsiTheme="minorHAnsi" w:cs="Arial"/>
          <w:sz w:val="26"/>
          <w:szCs w:val="26"/>
        </w:rPr>
      </w:pPr>
      <w:r>
        <w:rPr>
          <w:noProof/>
          <w:szCs w:val="26"/>
        </w:rPr>
        <w:drawing>
          <wp:anchor distT="0" distB="0" distL="114300" distR="114300" simplePos="0" relativeHeight="251673088" behindDoc="1" locked="0" layoutInCell="1" allowOverlap="1">
            <wp:simplePos x="0" y="0"/>
            <wp:positionH relativeFrom="column">
              <wp:posOffset>3153410</wp:posOffset>
            </wp:positionH>
            <wp:positionV relativeFrom="paragraph">
              <wp:posOffset>19050</wp:posOffset>
            </wp:positionV>
            <wp:extent cx="3457575" cy="2133600"/>
            <wp:effectExtent l="19050" t="0" r="9525" b="0"/>
            <wp:wrapNone/>
            <wp:docPr id="45"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cstate="print"/>
                    <a:srcRect/>
                    <a:stretch>
                      <a:fillRect/>
                    </a:stretch>
                  </pic:blipFill>
                  <pic:spPr bwMode="auto">
                    <a:xfrm>
                      <a:off x="0" y="0"/>
                      <a:ext cx="3457575" cy="2133600"/>
                    </a:xfrm>
                    <a:prstGeom prst="rect">
                      <a:avLst/>
                    </a:prstGeom>
                    <a:noFill/>
                    <a:ln w="9525">
                      <a:noFill/>
                      <a:miter lim="800000"/>
                      <a:headEnd/>
                      <a:tailEnd/>
                    </a:ln>
                  </pic:spPr>
                </pic:pic>
              </a:graphicData>
            </a:graphic>
          </wp:anchor>
        </w:drawing>
      </w:r>
    </w:p>
    <w:p w:rsidR="00A241C1" w:rsidRDefault="00A241C1" w:rsidP="00BB134C">
      <w:pPr>
        <w:tabs>
          <w:tab w:val="left" w:pos="6960"/>
        </w:tabs>
        <w:ind w:left="-510"/>
        <w:rPr>
          <w:rFonts w:asciiTheme="minorHAnsi" w:hAnsiTheme="minorHAnsi" w:cs="Arial"/>
          <w:sz w:val="26"/>
          <w:szCs w:val="26"/>
        </w:rPr>
      </w:pPr>
    </w:p>
    <w:p w:rsidR="00A241C1" w:rsidRDefault="00A241C1" w:rsidP="00BB134C">
      <w:pPr>
        <w:tabs>
          <w:tab w:val="left" w:pos="6960"/>
        </w:tabs>
        <w:ind w:left="-510"/>
        <w:rPr>
          <w:rFonts w:asciiTheme="minorHAnsi" w:hAnsiTheme="minorHAnsi" w:cs="Arial"/>
          <w:sz w:val="26"/>
          <w:szCs w:val="26"/>
        </w:rPr>
      </w:pPr>
    </w:p>
    <w:p w:rsidR="00A241C1" w:rsidRDefault="00A241C1" w:rsidP="00BB134C">
      <w:pPr>
        <w:tabs>
          <w:tab w:val="left" w:pos="6960"/>
        </w:tabs>
        <w:ind w:left="-510"/>
        <w:rPr>
          <w:rFonts w:asciiTheme="minorHAnsi" w:hAnsiTheme="minorHAnsi" w:cs="Arial"/>
          <w:sz w:val="26"/>
          <w:szCs w:val="26"/>
        </w:rPr>
      </w:pPr>
    </w:p>
    <w:p w:rsidR="00A241C1" w:rsidRDefault="00A241C1" w:rsidP="00BB134C">
      <w:pPr>
        <w:tabs>
          <w:tab w:val="left" w:pos="6960"/>
        </w:tabs>
        <w:ind w:left="-510"/>
        <w:rPr>
          <w:rFonts w:asciiTheme="minorHAnsi" w:hAnsiTheme="minorHAnsi" w:cs="Arial"/>
          <w:sz w:val="26"/>
          <w:szCs w:val="26"/>
        </w:rPr>
      </w:pPr>
    </w:p>
    <w:p w:rsidR="00A241C1" w:rsidRDefault="00A241C1" w:rsidP="00BB134C">
      <w:pPr>
        <w:tabs>
          <w:tab w:val="left" w:pos="6960"/>
        </w:tabs>
        <w:ind w:left="-510"/>
        <w:rPr>
          <w:rFonts w:asciiTheme="minorHAnsi" w:hAnsiTheme="minorHAnsi" w:cs="Arial"/>
          <w:sz w:val="26"/>
          <w:szCs w:val="26"/>
        </w:rPr>
      </w:pPr>
    </w:p>
    <w:p w:rsidR="00A241C1" w:rsidRDefault="00A241C1" w:rsidP="00BB134C">
      <w:pPr>
        <w:tabs>
          <w:tab w:val="left" w:pos="6960"/>
        </w:tabs>
        <w:ind w:left="-510"/>
        <w:rPr>
          <w:rFonts w:asciiTheme="minorHAnsi" w:hAnsiTheme="minorHAnsi" w:cs="Arial"/>
          <w:sz w:val="26"/>
          <w:szCs w:val="26"/>
        </w:rPr>
      </w:pPr>
    </w:p>
    <w:p w:rsidR="00A241C1" w:rsidRDefault="00A241C1" w:rsidP="00BB134C">
      <w:pPr>
        <w:tabs>
          <w:tab w:val="left" w:pos="6960"/>
        </w:tabs>
        <w:ind w:left="-510"/>
        <w:rPr>
          <w:rFonts w:asciiTheme="minorHAnsi" w:hAnsiTheme="minorHAnsi" w:cs="Arial"/>
          <w:sz w:val="26"/>
          <w:szCs w:val="26"/>
        </w:rPr>
      </w:pPr>
    </w:p>
    <w:p w:rsidR="00A241C1" w:rsidRDefault="00A241C1" w:rsidP="00BB134C">
      <w:pPr>
        <w:tabs>
          <w:tab w:val="left" w:pos="6960"/>
        </w:tabs>
        <w:ind w:left="-510"/>
        <w:rPr>
          <w:rFonts w:asciiTheme="minorHAnsi" w:hAnsiTheme="minorHAnsi" w:cs="Arial"/>
          <w:sz w:val="26"/>
          <w:szCs w:val="26"/>
        </w:rPr>
      </w:pPr>
    </w:p>
    <w:p w:rsidR="00A241C1" w:rsidRDefault="00A241C1" w:rsidP="00BB134C">
      <w:pPr>
        <w:tabs>
          <w:tab w:val="left" w:pos="6960"/>
        </w:tabs>
        <w:ind w:left="-510"/>
        <w:rPr>
          <w:rFonts w:asciiTheme="minorHAnsi" w:hAnsiTheme="minorHAnsi" w:cs="Arial"/>
          <w:sz w:val="26"/>
          <w:szCs w:val="26"/>
        </w:rPr>
      </w:pPr>
    </w:p>
    <w:p w:rsidR="00A241C1" w:rsidRDefault="00A241C1" w:rsidP="00A241C1">
      <w:pPr>
        <w:tabs>
          <w:tab w:val="left" w:pos="6960"/>
        </w:tabs>
        <w:rPr>
          <w:rFonts w:asciiTheme="minorHAnsi" w:hAnsiTheme="minorHAnsi" w:cs="Arial"/>
          <w:sz w:val="26"/>
          <w:szCs w:val="26"/>
        </w:rPr>
      </w:pPr>
    </w:p>
    <w:p w:rsidR="009F57B5" w:rsidRDefault="009F57B5" w:rsidP="009F57B5">
      <w:pPr>
        <w:jc w:val="both"/>
        <w:rPr>
          <w:rFonts w:ascii="Calibri" w:hAnsi="Calibri" w:cs="Arial"/>
          <w:bCs/>
          <w:sz w:val="20"/>
          <w:szCs w:val="20"/>
        </w:rPr>
      </w:pPr>
    </w:p>
    <w:p w:rsidR="009F57B5" w:rsidRPr="00A241C1" w:rsidRDefault="009F57B5" w:rsidP="009870BB">
      <w:pPr>
        <w:numPr>
          <w:ilvl w:val="0"/>
          <w:numId w:val="37"/>
        </w:numPr>
        <w:ind w:left="-426" w:hanging="141"/>
        <w:jc w:val="both"/>
        <w:rPr>
          <w:rFonts w:ascii="Calibri" w:hAnsi="Calibri" w:cs="Arial"/>
          <w:bCs/>
          <w:sz w:val="20"/>
          <w:szCs w:val="20"/>
        </w:rPr>
      </w:pPr>
      <w:r w:rsidRPr="00A241C1">
        <w:rPr>
          <w:rFonts w:ascii="Calibri" w:hAnsi="Calibri" w:cs="Arial"/>
          <w:bCs/>
          <w:sz w:val="20"/>
          <w:szCs w:val="20"/>
        </w:rPr>
        <w:t>Znaczący wzrost portfela kredytowego o 34% r/r;</w:t>
      </w:r>
    </w:p>
    <w:p w:rsidR="009F57B5" w:rsidRPr="00A241C1" w:rsidRDefault="009F57B5" w:rsidP="009870BB">
      <w:pPr>
        <w:numPr>
          <w:ilvl w:val="0"/>
          <w:numId w:val="37"/>
        </w:numPr>
        <w:ind w:left="-426" w:hanging="141"/>
        <w:jc w:val="both"/>
        <w:rPr>
          <w:rFonts w:ascii="Calibri" w:hAnsi="Calibri" w:cs="Arial"/>
          <w:bCs/>
          <w:sz w:val="20"/>
          <w:szCs w:val="20"/>
        </w:rPr>
      </w:pPr>
      <w:r w:rsidRPr="00A241C1">
        <w:rPr>
          <w:rFonts w:ascii="Calibri" w:hAnsi="Calibri" w:cs="Arial"/>
          <w:bCs/>
          <w:sz w:val="20"/>
          <w:szCs w:val="20"/>
        </w:rPr>
        <w:t>Poprawa wyniku odsetkowego o 9% r/r mimo spadku stóp procentowych;</w:t>
      </w:r>
    </w:p>
    <w:p w:rsidR="009F57B5" w:rsidRPr="00A241C1" w:rsidRDefault="009F57B5" w:rsidP="009870BB">
      <w:pPr>
        <w:numPr>
          <w:ilvl w:val="0"/>
          <w:numId w:val="37"/>
        </w:numPr>
        <w:ind w:left="-426" w:hanging="141"/>
        <w:jc w:val="both"/>
        <w:rPr>
          <w:rFonts w:ascii="Calibri" w:hAnsi="Calibri" w:cs="Arial"/>
          <w:bCs/>
          <w:sz w:val="20"/>
          <w:szCs w:val="20"/>
        </w:rPr>
      </w:pPr>
      <w:r w:rsidRPr="00A241C1">
        <w:rPr>
          <w:rFonts w:ascii="Calibri" w:hAnsi="Calibri" w:cs="Arial"/>
          <w:bCs/>
          <w:sz w:val="20"/>
          <w:szCs w:val="20"/>
        </w:rPr>
        <w:t>Lepszy wynik na działalności podstawowej po wyłączeniu zdarzeń jednorazowych;</w:t>
      </w:r>
    </w:p>
    <w:p w:rsidR="009F57B5" w:rsidRPr="00A241C1" w:rsidRDefault="009F57B5" w:rsidP="009870BB">
      <w:pPr>
        <w:numPr>
          <w:ilvl w:val="0"/>
          <w:numId w:val="37"/>
        </w:numPr>
        <w:ind w:left="-426" w:hanging="141"/>
        <w:jc w:val="both"/>
        <w:rPr>
          <w:rFonts w:ascii="Calibri" w:hAnsi="Calibri" w:cs="Arial"/>
          <w:bCs/>
          <w:sz w:val="20"/>
          <w:szCs w:val="20"/>
        </w:rPr>
      </w:pPr>
      <w:r w:rsidRPr="00A241C1">
        <w:rPr>
          <w:rFonts w:ascii="Calibri" w:hAnsi="Calibri" w:cs="Arial"/>
          <w:bCs/>
          <w:sz w:val="20"/>
          <w:szCs w:val="20"/>
        </w:rPr>
        <w:t>Wolniejszy wzrost kosztów niż dochodów, C/I niższe niż średnia dla banków spółdzielczych;</w:t>
      </w:r>
    </w:p>
    <w:p w:rsidR="009F57B5" w:rsidRPr="00A241C1" w:rsidRDefault="009F57B5" w:rsidP="009870BB">
      <w:pPr>
        <w:numPr>
          <w:ilvl w:val="0"/>
          <w:numId w:val="37"/>
        </w:numPr>
        <w:ind w:left="-426" w:hanging="141"/>
        <w:jc w:val="both"/>
        <w:rPr>
          <w:rFonts w:ascii="Calibri" w:hAnsi="Calibri" w:cs="Arial"/>
          <w:bCs/>
          <w:sz w:val="20"/>
          <w:szCs w:val="20"/>
        </w:rPr>
      </w:pPr>
      <w:r w:rsidRPr="00A241C1">
        <w:rPr>
          <w:rFonts w:ascii="Calibri" w:hAnsi="Calibri" w:cs="Arial"/>
          <w:bCs/>
          <w:sz w:val="20"/>
          <w:szCs w:val="20"/>
        </w:rPr>
        <w:t>Pogorszyła się jakość portfela kredytowego – kredyty zagrożone stanowią ok. 8,9% portfela kredytowego;</w:t>
      </w:r>
    </w:p>
    <w:p w:rsidR="009F57B5" w:rsidRPr="00A241C1" w:rsidRDefault="009F57B5" w:rsidP="009870BB">
      <w:pPr>
        <w:ind w:left="-426" w:hanging="141"/>
        <w:jc w:val="both"/>
        <w:rPr>
          <w:rFonts w:ascii="Calibri" w:hAnsi="Calibri" w:cs="Arial"/>
          <w:bCs/>
          <w:sz w:val="20"/>
          <w:szCs w:val="20"/>
        </w:rPr>
      </w:pPr>
    </w:p>
    <w:p w:rsidR="009F57B5" w:rsidRPr="00A241C1" w:rsidRDefault="009F57B5" w:rsidP="009870BB">
      <w:pPr>
        <w:ind w:left="-567"/>
        <w:jc w:val="both"/>
        <w:rPr>
          <w:rFonts w:ascii="Calibri" w:hAnsi="Calibri" w:cs="Arial"/>
          <w:bCs/>
          <w:sz w:val="20"/>
          <w:szCs w:val="20"/>
        </w:rPr>
      </w:pPr>
      <w:r w:rsidRPr="00A241C1">
        <w:rPr>
          <w:rFonts w:ascii="Calibri" w:hAnsi="Calibri" w:cs="Arial"/>
          <w:bCs/>
          <w:sz w:val="20"/>
          <w:szCs w:val="20"/>
        </w:rPr>
        <w:t xml:space="preserve">Pomimo negatywnych tendencji w zakresie stóp procentowych </w:t>
      </w:r>
      <w:r w:rsidRPr="00A241C1">
        <w:rPr>
          <w:rFonts w:ascii="Calibri" w:hAnsi="Calibri" w:cs="Arial"/>
          <w:b/>
          <w:bCs/>
          <w:sz w:val="20"/>
          <w:szCs w:val="20"/>
        </w:rPr>
        <w:t xml:space="preserve">przychody odsetkowe banku wzrosły </w:t>
      </w:r>
      <w:r w:rsidRPr="00A241C1">
        <w:rPr>
          <w:rFonts w:ascii="Calibri" w:hAnsi="Calibri" w:cs="Arial"/>
          <w:bCs/>
          <w:sz w:val="20"/>
          <w:szCs w:val="20"/>
        </w:rPr>
        <w:t>o 11% r/r, czemu sprzyjało zwiększenie akcji kredytowej o blisko 34% r/r. W strukturze aktywów widać silny przyrost dłużnych papierów wartościowych (z 4 do 80 mln PLN), co nastąpiło w warunkach zmniejszenia należności od sektora finansowego o 30 mln PLN. W wyniku spadku rynkowych stóp procentowych lokowanie nadwyżek na lokatach w banku zrzeszającym stało się mniej atrakcyjne, co zachęciło bank do inwestycji w krótkoterminowe bony pieniężne.</w:t>
      </w:r>
    </w:p>
    <w:p w:rsidR="009F57B5" w:rsidRPr="00A241C1" w:rsidRDefault="009F57B5" w:rsidP="009870BB">
      <w:pPr>
        <w:ind w:left="-567"/>
        <w:jc w:val="both"/>
        <w:rPr>
          <w:rFonts w:ascii="Calibri" w:hAnsi="Calibri" w:cs="Arial"/>
          <w:bCs/>
          <w:sz w:val="20"/>
          <w:szCs w:val="20"/>
        </w:rPr>
      </w:pPr>
      <w:r w:rsidRPr="00A241C1">
        <w:rPr>
          <w:rFonts w:ascii="Calibri" w:hAnsi="Calibri" w:cs="Arial"/>
          <w:b/>
          <w:bCs/>
          <w:sz w:val="20"/>
          <w:szCs w:val="20"/>
        </w:rPr>
        <w:t>Jakość portfela kredytowego pogorszyła się</w:t>
      </w:r>
      <w:r w:rsidRPr="00A241C1">
        <w:rPr>
          <w:rFonts w:ascii="Calibri" w:hAnsi="Calibri" w:cs="Arial"/>
          <w:bCs/>
          <w:sz w:val="20"/>
          <w:szCs w:val="20"/>
        </w:rPr>
        <w:t xml:space="preserve">. Nastąpił przyrost kredytów zagrożonych o 51% do 34,8 mln PLN, co stanowi 8,9% struktury portfela kredytowego (wobec 7,9% w 1H’12). Bank podał, że jest to wynikiem zaleconego przez KNF kompleksowego przeglądu ekspozycji kredytowych. Bank zamierza koncentrować się na restrukturyzacji portfela kredytowego. Stan rezerw w przekroju roku wzrósł o niespełna 4% (tj. 0,2 mln PLN) do 5,7 mln PLN. W komentarzu podano, że bank przyjmuje zabezpieczenia, które w dużej mierze gwarantują mu odzyskanie należności (hipoteka i zastawy rzeczowe), co daje mu podstawę do pomniejszania wysokości tworzonych rezerw. </w:t>
      </w:r>
    </w:p>
    <w:p w:rsidR="009F57B5" w:rsidRPr="00A241C1" w:rsidRDefault="009F57B5" w:rsidP="009870BB">
      <w:pPr>
        <w:ind w:left="-567"/>
        <w:jc w:val="both"/>
        <w:rPr>
          <w:rFonts w:ascii="Calibri" w:hAnsi="Calibri" w:cs="Arial"/>
          <w:bCs/>
          <w:sz w:val="20"/>
          <w:szCs w:val="20"/>
        </w:rPr>
      </w:pPr>
      <w:r w:rsidRPr="00A241C1">
        <w:rPr>
          <w:rFonts w:ascii="Calibri" w:hAnsi="Calibri" w:cs="Arial"/>
          <w:bCs/>
          <w:sz w:val="20"/>
          <w:szCs w:val="20"/>
        </w:rPr>
        <w:t xml:space="preserve">Odnotowany </w:t>
      </w:r>
      <w:r w:rsidRPr="00A241C1">
        <w:rPr>
          <w:rFonts w:ascii="Calibri" w:hAnsi="Calibri" w:cs="Arial"/>
          <w:b/>
          <w:bCs/>
          <w:sz w:val="20"/>
          <w:szCs w:val="20"/>
        </w:rPr>
        <w:t>niższy niż przed rokiem wynik na działalności bankowej</w:t>
      </w:r>
      <w:r w:rsidRPr="00A241C1">
        <w:rPr>
          <w:rFonts w:ascii="Calibri" w:hAnsi="Calibri" w:cs="Arial"/>
          <w:bCs/>
          <w:sz w:val="20"/>
          <w:szCs w:val="20"/>
        </w:rPr>
        <w:t xml:space="preserve"> to efekt znacząco niższych przychodów z udziałów lub akcji jednostek stowarzyszonych (różnica wynosi 1,7 mln PLN), spowodowany ubiegłoroczną sprzedażą instrumentów kapitałowych w wysokości ok. 1,8 mln PLN. Wyłączając to zdarzenie jednorazowe, wynik na działalności bankowej poprawił by się o 12,4% r/r. </w:t>
      </w:r>
    </w:p>
    <w:p w:rsidR="009F57B5" w:rsidRPr="00A241C1" w:rsidRDefault="009F57B5" w:rsidP="009870BB">
      <w:pPr>
        <w:ind w:left="-567"/>
        <w:jc w:val="both"/>
        <w:rPr>
          <w:rFonts w:ascii="Calibri" w:hAnsi="Calibri" w:cs="Arial"/>
          <w:bCs/>
          <w:sz w:val="20"/>
          <w:szCs w:val="20"/>
        </w:rPr>
      </w:pPr>
      <w:r w:rsidRPr="00A241C1">
        <w:rPr>
          <w:rFonts w:ascii="Calibri" w:hAnsi="Calibri" w:cs="Arial"/>
          <w:b/>
          <w:bCs/>
          <w:sz w:val="20"/>
          <w:szCs w:val="20"/>
        </w:rPr>
        <w:t>Efektywność kosztowa pogorszyła się</w:t>
      </w:r>
      <w:r w:rsidRPr="00A241C1">
        <w:rPr>
          <w:rFonts w:ascii="Calibri" w:hAnsi="Calibri" w:cs="Arial"/>
          <w:bCs/>
          <w:sz w:val="20"/>
          <w:szCs w:val="20"/>
        </w:rPr>
        <w:t xml:space="preserve">, wskaźnik C/I wzrósł o 7,7 pp. do 56,3%, w porównaniu z innymi bankami spółdzielczymi pozostawał jednak na stosunkowo niskim poziomie. Gdyby wyłączyć jednorazowe zdarzenie wskaźnik uległby poprawie o 2,9 pp. </w:t>
      </w:r>
    </w:p>
    <w:p w:rsidR="009F57B5" w:rsidRPr="00A241C1" w:rsidRDefault="009F57B5" w:rsidP="009870BB">
      <w:pPr>
        <w:ind w:left="-567"/>
        <w:jc w:val="both"/>
        <w:rPr>
          <w:rFonts w:ascii="Calibri" w:hAnsi="Calibri" w:cs="Arial"/>
          <w:bCs/>
          <w:sz w:val="20"/>
          <w:szCs w:val="20"/>
        </w:rPr>
      </w:pPr>
      <w:r w:rsidRPr="00A241C1">
        <w:rPr>
          <w:rFonts w:ascii="Calibri" w:hAnsi="Calibri" w:cs="Arial"/>
          <w:b/>
          <w:bCs/>
          <w:sz w:val="20"/>
          <w:szCs w:val="20"/>
        </w:rPr>
        <w:t>Bank wzmacnia swoją bazę kapitałową</w:t>
      </w:r>
      <w:r w:rsidRPr="00A241C1">
        <w:rPr>
          <w:rFonts w:ascii="Calibri" w:hAnsi="Calibri" w:cs="Arial"/>
          <w:bCs/>
          <w:sz w:val="20"/>
          <w:szCs w:val="20"/>
        </w:rPr>
        <w:t xml:space="preserve"> nie tylko przeznaczając zysk netto na kapitał zapasowy (wzrósł o 35%), ale także w skutek dokonanych wpłat udziałowców (wzrost kapitałów podstawowych o 70%), co pozwoliło na zwiększenie funduszy własnych o 22%. Pomimo tego współczynnik wypłacalności obniżył się o 0,7 pp. do 9,0%, co było efektem utworzenia wyższych wymogów kapitałowych z tytułu wzrostu obliga kredytowego, inwestycji w instrumenty dłużne i kapitałowe oraz poziomu należności zagrożonych.</w:t>
      </w:r>
    </w:p>
    <w:p w:rsidR="009F57B5" w:rsidRPr="00A241C1" w:rsidRDefault="009F57B5" w:rsidP="009870BB">
      <w:pPr>
        <w:ind w:left="-567"/>
        <w:jc w:val="both"/>
        <w:rPr>
          <w:rFonts w:ascii="Calibri" w:hAnsi="Calibri" w:cs="Arial"/>
          <w:bCs/>
          <w:sz w:val="20"/>
          <w:szCs w:val="20"/>
        </w:rPr>
      </w:pPr>
      <w:r w:rsidRPr="00A241C1">
        <w:rPr>
          <w:rFonts w:ascii="Calibri" w:hAnsi="Calibri" w:cs="Arial"/>
          <w:bCs/>
          <w:sz w:val="20"/>
          <w:szCs w:val="20"/>
        </w:rPr>
        <w:t>19 czerwca br. bank otrzymał 8 mln PLN z Funduszu Pomocowego (pożyczka podporządkowana) na powiększenie funduszy uzupełniających. Na zaliczenie tych środków do funduszy własnych zgodę musi wydać KNF.</w:t>
      </w:r>
    </w:p>
    <w:p w:rsidR="00CF2B28" w:rsidRDefault="00CF2B28">
      <w:pPr>
        <w:rPr>
          <w:rFonts w:asciiTheme="minorHAnsi" w:hAnsiTheme="minorHAnsi" w:cs="Arial"/>
          <w:sz w:val="20"/>
          <w:szCs w:val="20"/>
        </w:rPr>
      </w:pPr>
      <w:r>
        <w:rPr>
          <w:rFonts w:asciiTheme="minorHAnsi" w:hAnsiTheme="minorHAnsi" w:cs="Arial"/>
          <w:sz w:val="20"/>
          <w:szCs w:val="20"/>
        </w:rPr>
        <w:br w:type="page"/>
      </w:r>
    </w:p>
    <w:p w:rsidR="00126454" w:rsidRPr="00636E50" w:rsidRDefault="00126454" w:rsidP="00636E50">
      <w:pPr>
        <w:pStyle w:val="Nagwek1"/>
      </w:pPr>
      <w:bookmarkStart w:id="17" w:name="_Toc368572367"/>
      <w:r w:rsidRPr="00636E50">
        <w:lastRenderedPageBreak/>
        <w:t>MAZOWIECKI BANK SPÓŁDZIELCZY W ŁOMIANKACH</w:t>
      </w:r>
      <w:bookmarkEnd w:id="17"/>
    </w:p>
    <w:p w:rsidR="003A5122" w:rsidRPr="00366A2D" w:rsidRDefault="003A5122" w:rsidP="00126454">
      <w:pPr>
        <w:tabs>
          <w:tab w:val="left" w:pos="6960"/>
        </w:tabs>
        <w:ind w:left="-510"/>
        <w:rPr>
          <w:rFonts w:asciiTheme="minorHAnsi" w:hAnsiTheme="minorHAnsi" w:cs="Arial"/>
          <w:sz w:val="22"/>
          <w:szCs w:val="22"/>
        </w:rPr>
      </w:pPr>
    </w:p>
    <w:tbl>
      <w:tblPr>
        <w:tblW w:w="3979" w:type="dxa"/>
        <w:tblInd w:w="60" w:type="dxa"/>
        <w:tblCellMar>
          <w:left w:w="70" w:type="dxa"/>
          <w:right w:w="70" w:type="dxa"/>
        </w:tblCellMar>
        <w:tblLook w:val="04A0"/>
      </w:tblPr>
      <w:tblGrid>
        <w:gridCol w:w="2600"/>
        <w:gridCol w:w="546"/>
        <w:gridCol w:w="833"/>
      </w:tblGrid>
      <w:tr w:rsidR="009F57B5" w:rsidTr="009057F0">
        <w:trPr>
          <w:trHeight w:val="252"/>
        </w:trPr>
        <w:tc>
          <w:tcPr>
            <w:tcW w:w="2600" w:type="dxa"/>
            <w:tcBorders>
              <w:top w:val="single" w:sz="8" w:space="0" w:color="FFFFFF"/>
              <w:left w:val="single" w:sz="8" w:space="0" w:color="FFFFFF"/>
              <w:bottom w:val="single" w:sz="8" w:space="0" w:color="1EAA82"/>
              <w:right w:val="nil"/>
            </w:tcBorders>
            <w:shd w:val="clear" w:color="000000" w:fill="FFFFFF"/>
            <w:vAlign w:val="center"/>
            <w:hideMark/>
          </w:tcPr>
          <w:p w:rsidR="009F57B5" w:rsidRDefault="009F57B5" w:rsidP="009057F0">
            <w:pPr>
              <w:rPr>
                <w:rFonts w:ascii="Calibri" w:hAnsi="Calibri" w:cs="Calibri"/>
                <w:b/>
                <w:bCs/>
                <w:color w:val="000000"/>
                <w:sz w:val="18"/>
                <w:szCs w:val="18"/>
              </w:rPr>
            </w:pPr>
            <w:r>
              <w:rPr>
                <w:rFonts w:ascii="Calibri" w:hAnsi="Calibri" w:cs="Calibri"/>
                <w:b/>
                <w:bCs/>
                <w:color w:val="000000"/>
                <w:sz w:val="18"/>
                <w:szCs w:val="18"/>
              </w:rPr>
              <w:t>Podstawowe dane</w:t>
            </w:r>
          </w:p>
        </w:tc>
        <w:tc>
          <w:tcPr>
            <w:tcW w:w="546" w:type="dxa"/>
            <w:tcBorders>
              <w:top w:val="single" w:sz="8" w:space="0" w:color="FFFFFF"/>
              <w:left w:val="nil"/>
              <w:bottom w:val="single" w:sz="8" w:space="0" w:color="1EAA82"/>
              <w:right w:val="single" w:sz="8" w:space="0" w:color="FFFFFF"/>
            </w:tcBorders>
            <w:shd w:val="clear" w:color="000000" w:fill="FFFFFF"/>
            <w:vAlign w:val="center"/>
            <w:hideMark/>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2012 </w:t>
            </w:r>
          </w:p>
        </w:tc>
        <w:tc>
          <w:tcPr>
            <w:tcW w:w="833" w:type="dxa"/>
            <w:tcBorders>
              <w:top w:val="single" w:sz="8" w:space="0" w:color="FFFFFF"/>
              <w:left w:val="nil"/>
              <w:bottom w:val="single" w:sz="8" w:space="0" w:color="1EAA82"/>
              <w:right w:val="single" w:sz="8" w:space="0" w:color="FFFFFF"/>
            </w:tcBorders>
            <w:shd w:val="clear" w:color="000000" w:fill="FFFFFF"/>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1H’13</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Suma bilansowa [mln PLN]</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264</w:t>
            </w:r>
          </w:p>
        </w:tc>
        <w:tc>
          <w:tcPr>
            <w:tcW w:w="833" w:type="dxa"/>
            <w:tcBorders>
              <w:top w:val="nil"/>
              <w:left w:val="nil"/>
              <w:bottom w:val="nil"/>
              <w:right w:val="nil"/>
            </w:tcBorders>
            <w:shd w:val="clear" w:color="000000" w:fill="FFFFFF"/>
          </w:tcPr>
          <w:p w:rsidR="009F57B5" w:rsidRDefault="00CA15AD" w:rsidP="009057F0">
            <w:pPr>
              <w:jc w:val="right"/>
              <w:rPr>
                <w:rFonts w:ascii="Calibri" w:hAnsi="Calibri" w:cs="Calibri"/>
                <w:color w:val="000000"/>
                <w:sz w:val="18"/>
                <w:szCs w:val="18"/>
              </w:rPr>
            </w:pPr>
            <w:r>
              <w:rPr>
                <w:rFonts w:ascii="Calibri" w:hAnsi="Calibri" w:cs="Calibri"/>
                <w:color w:val="000000"/>
                <w:sz w:val="18"/>
                <w:szCs w:val="18"/>
              </w:rPr>
              <w:t>296</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Kapitały własne [mln PLN]</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24</w:t>
            </w:r>
          </w:p>
        </w:tc>
        <w:tc>
          <w:tcPr>
            <w:tcW w:w="833" w:type="dxa"/>
            <w:tcBorders>
              <w:top w:val="nil"/>
              <w:left w:val="nil"/>
              <w:bottom w:val="nil"/>
              <w:right w:val="nil"/>
            </w:tcBorders>
            <w:shd w:val="clear" w:color="000000" w:fill="FFFFFF"/>
          </w:tcPr>
          <w:p w:rsidR="009F57B5" w:rsidRDefault="00CA15AD" w:rsidP="009057F0">
            <w:pPr>
              <w:jc w:val="right"/>
              <w:rPr>
                <w:rFonts w:ascii="Calibri" w:hAnsi="Calibri" w:cs="Calibri"/>
                <w:color w:val="000000"/>
                <w:sz w:val="18"/>
                <w:szCs w:val="18"/>
              </w:rPr>
            </w:pPr>
            <w:r>
              <w:rPr>
                <w:rFonts w:ascii="Calibri" w:hAnsi="Calibri" w:cs="Calibri"/>
                <w:color w:val="000000"/>
                <w:sz w:val="18"/>
                <w:szCs w:val="18"/>
              </w:rPr>
              <w:t>25</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 xml:space="preserve">Współczynnik wypłacalności [%]                      </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12,0</w:t>
            </w:r>
          </w:p>
        </w:tc>
        <w:tc>
          <w:tcPr>
            <w:tcW w:w="833" w:type="dxa"/>
            <w:tcBorders>
              <w:top w:val="nil"/>
              <w:left w:val="nil"/>
              <w:bottom w:val="nil"/>
              <w:right w:val="nil"/>
            </w:tcBorders>
            <w:shd w:val="clear" w:color="000000" w:fill="FFFFFF"/>
          </w:tcPr>
          <w:p w:rsidR="009F57B5" w:rsidRDefault="00CA15AD" w:rsidP="009057F0">
            <w:pPr>
              <w:jc w:val="right"/>
              <w:rPr>
                <w:rFonts w:ascii="Calibri" w:hAnsi="Calibri" w:cs="Calibri"/>
                <w:color w:val="000000"/>
                <w:sz w:val="18"/>
                <w:szCs w:val="18"/>
              </w:rPr>
            </w:pPr>
            <w:r>
              <w:rPr>
                <w:rFonts w:ascii="Calibri" w:hAnsi="Calibri" w:cs="Calibri"/>
                <w:color w:val="000000"/>
                <w:sz w:val="18"/>
                <w:szCs w:val="18"/>
              </w:rPr>
              <w:t>11,5</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C/I [%]</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79,5</w:t>
            </w:r>
          </w:p>
        </w:tc>
        <w:tc>
          <w:tcPr>
            <w:tcW w:w="833" w:type="dxa"/>
            <w:tcBorders>
              <w:top w:val="nil"/>
              <w:left w:val="nil"/>
              <w:bottom w:val="nil"/>
              <w:right w:val="nil"/>
            </w:tcBorders>
            <w:shd w:val="clear" w:color="000000" w:fill="FFFFFF"/>
          </w:tcPr>
          <w:p w:rsidR="009F57B5" w:rsidRDefault="00CA15AD" w:rsidP="009057F0">
            <w:pPr>
              <w:jc w:val="right"/>
              <w:rPr>
                <w:rFonts w:ascii="Calibri" w:hAnsi="Calibri" w:cs="Calibri"/>
                <w:color w:val="000000"/>
                <w:sz w:val="18"/>
                <w:szCs w:val="18"/>
              </w:rPr>
            </w:pPr>
            <w:r>
              <w:rPr>
                <w:rFonts w:ascii="Calibri" w:hAnsi="Calibri" w:cs="Calibri"/>
                <w:color w:val="000000"/>
                <w:sz w:val="18"/>
                <w:szCs w:val="18"/>
              </w:rPr>
              <w:t>80,8</w:t>
            </w:r>
          </w:p>
        </w:tc>
      </w:tr>
    </w:tbl>
    <w:p w:rsidR="009F57B5" w:rsidRPr="00366A2D" w:rsidRDefault="009F57B5" w:rsidP="00126454">
      <w:pPr>
        <w:tabs>
          <w:tab w:val="left" w:pos="6960"/>
        </w:tabs>
        <w:ind w:left="-510"/>
        <w:rPr>
          <w:rFonts w:asciiTheme="minorHAnsi" w:hAnsiTheme="minorHAnsi" w:cs="Arial"/>
          <w:sz w:val="20"/>
          <w:szCs w:val="20"/>
        </w:rPr>
      </w:pPr>
    </w:p>
    <w:p w:rsidR="003A5122" w:rsidRPr="003A5122" w:rsidRDefault="003A5122" w:rsidP="003A5122">
      <w:pPr>
        <w:tabs>
          <w:tab w:val="left" w:pos="6960"/>
        </w:tabs>
        <w:spacing w:line="276" w:lineRule="auto"/>
        <w:ind w:left="-510"/>
        <w:jc w:val="both"/>
        <w:rPr>
          <w:rFonts w:ascii="Calibri" w:hAnsi="Calibri" w:cs="Arial"/>
          <w:bCs/>
          <w:sz w:val="22"/>
          <w:szCs w:val="22"/>
        </w:rPr>
      </w:pPr>
      <w:r w:rsidRPr="003A5122">
        <w:rPr>
          <w:rFonts w:ascii="Calibri" w:hAnsi="Calibri" w:cs="Arial"/>
          <w:b/>
          <w:bCs/>
          <w:sz w:val="22"/>
          <w:szCs w:val="22"/>
        </w:rPr>
        <w:t xml:space="preserve">Wysoka jakość portfela kredytowego. </w:t>
      </w:r>
      <w:r w:rsidRPr="003A5122">
        <w:rPr>
          <w:rFonts w:ascii="Calibri" w:hAnsi="Calibri" w:cs="Arial"/>
          <w:bCs/>
          <w:sz w:val="22"/>
          <w:szCs w:val="22"/>
        </w:rPr>
        <w:t>Mazowiecki Bank Spółdzielczy w Łomiankach wypracował 6,9 mln PLN zysku na działalności bankowej i 1,0 mln PLN zysku netto.</w:t>
      </w:r>
    </w:p>
    <w:p w:rsidR="003A5122" w:rsidRDefault="003A5122" w:rsidP="00126454">
      <w:pPr>
        <w:tabs>
          <w:tab w:val="left" w:pos="6960"/>
        </w:tabs>
        <w:ind w:left="-510"/>
        <w:rPr>
          <w:rFonts w:asciiTheme="minorHAnsi" w:hAnsiTheme="minorHAnsi" w:cs="Arial"/>
          <w:sz w:val="26"/>
          <w:szCs w:val="26"/>
        </w:rPr>
      </w:pPr>
      <w:r>
        <w:rPr>
          <w:rFonts w:asciiTheme="minorHAnsi" w:hAnsiTheme="minorHAnsi" w:cs="Arial"/>
          <w:noProof/>
          <w:sz w:val="26"/>
          <w:szCs w:val="26"/>
        </w:rPr>
        <w:drawing>
          <wp:anchor distT="0" distB="0" distL="114300" distR="114300" simplePos="0" relativeHeight="251666944" behindDoc="1" locked="0" layoutInCell="1" allowOverlap="1">
            <wp:simplePos x="0" y="0"/>
            <wp:positionH relativeFrom="column">
              <wp:posOffset>-437515</wp:posOffset>
            </wp:positionH>
            <wp:positionV relativeFrom="paragraph">
              <wp:posOffset>106045</wp:posOffset>
            </wp:positionV>
            <wp:extent cx="3524250" cy="2095500"/>
            <wp:effectExtent l="19050" t="0" r="0" b="0"/>
            <wp:wrapNone/>
            <wp:docPr id="38"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cstate="print"/>
                    <a:srcRect/>
                    <a:stretch>
                      <a:fillRect/>
                    </a:stretch>
                  </pic:blipFill>
                  <pic:spPr bwMode="auto">
                    <a:xfrm>
                      <a:off x="0" y="0"/>
                      <a:ext cx="3524250" cy="2095500"/>
                    </a:xfrm>
                    <a:prstGeom prst="rect">
                      <a:avLst/>
                    </a:prstGeom>
                    <a:noFill/>
                    <a:ln w="9525">
                      <a:noFill/>
                      <a:miter lim="800000"/>
                      <a:headEnd/>
                      <a:tailEnd/>
                    </a:ln>
                  </pic:spPr>
                </pic:pic>
              </a:graphicData>
            </a:graphic>
          </wp:anchor>
        </w:drawing>
      </w:r>
      <w:r>
        <w:rPr>
          <w:rFonts w:asciiTheme="minorHAnsi" w:hAnsiTheme="minorHAnsi" w:cs="Arial"/>
          <w:noProof/>
          <w:sz w:val="26"/>
          <w:szCs w:val="26"/>
        </w:rPr>
        <w:drawing>
          <wp:anchor distT="0" distB="0" distL="114300" distR="114300" simplePos="0" relativeHeight="251665920" behindDoc="1" locked="0" layoutInCell="1" allowOverlap="1">
            <wp:simplePos x="0" y="0"/>
            <wp:positionH relativeFrom="column">
              <wp:posOffset>3134360</wp:posOffset>
            </wp:positionH>
            <wp:positionV relativeFrom="paragraph">
              <wp:posOffset>77470</wp:posOffset>
            </wp:positionV>
            <wp:extent cx="3457575" cy="2124075"/>
            <wp:effectExtent l="19050" t="0" r="9525" b="0"/>
            <wp:wrapNone/>
            <wp:docPr id="39"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cstate="print"/>
                    <a:srcRect/>
                    <a:stretch>
                      <a:fillRect/>
                    </a:stretch>
                  </pic:blipFill>
                  <pic:spPr bwMode="auto">
                    <a:xfrm>
                      <a:off x="0" y="0"/>
                      <a:ext cx="3457575" cy="2124075"/>
                    </a:xfrm>
                    <a:prstGeom prst="rect">
                      <a:avLst/>
                    </a:prstGeom>
                    <a:noFill/>
                    <a:ln w="9525">
                      <a:noFill/>
                      <a:miter lim="800000"/>
                      <a:headEnd/>
                      <a:tailEnd/>
                    </a:ln>
                  </pic:spPr>
                </pic:pic>
              </a:graphicData>
            </a:graphic>
          </wp:anchor>
        </w:drawing>
      </w:r>
    </w:p>
    <w:p w:rsidR="003A5122" w:rsidRDefault="003A5122" w:rsidP="00126454">
      <w:pPr>
        <w:tabs>
          <w:tab w:val="left" w:pos="6960"/>
        </w:tabs>
        <w:ind w:left="-510"/>
        <w:rPr>
          <w:rFonts w:asciiTheme="minorHAnsi" w:hAnsiTheme="minorHAnsi" w:cs="Arial"/>
          <w:sz w:val="26"/>
          <w:szCs w:val="26"/>
        </w:rPr>
      </w:pPr>
    </w:p>
    <w:p w:rsidR="003A5122" w:rsidRDefault="003A5122" w:rsidP="00126454">
      <w:pPr>
        <w:tabs>
          <w:tab w:val="left" w:pos="6960"/>
        </w:tabs>
        <w:ind w:left="-510"/>
        <w:rPr>
          <w:rFonts w:asciiTheme="minorHAnsi" w:hAnsiTheme="minorHAnsi" w:cs="Arial"/>
          <w:sz w:val="26"/>
          <w:szCs w:val="26"/>
        </w:rPr>
      </w:pPr>
    </w:p>
    <w:p w:rsidR="003A5122" w:rsidRDefault="003A5122" w:rsidP="00126454">
      <w:pPr>
        <w:tabs>
          <w:tab w:val="left" w:pos="6960"/>
        </w:tabs>
        <w:ind w:left="-510"/>
        <w:rPr>
          <w:rFonts w:asciiTheme="minorHAnsi" w:hAnsiTheme="minorHAnsi" w:cs="Arial"/>
          <w:sz w:val="26"/>
          <w:szCs w:val="26"/>
        </w:rPr>
      </w:pPr>
    </w:p>
    <w:p w:rsidR="003A5122" w:rsidRDefault="003A5122" w:rsidP="00126454">
      <w:pPr>
        <w:tabs>
          <w:tab w:val="left" w:pos="6960"/>
        </w:tabs>
        <w:ind w:left="-510"/>
        <w:rPr>
          <w:rFonts w:asciiTheme="minorHAnsi" w:hAnsiTheme="minorHAnsi" w:cs="Arial"/>
          <w:sz w:val="26"/>
          <w:szCs w:val="26"/>
        </w:rPr>
      </w:pPr>
    </w:p>
    <w:p w:rsidR="003A5122" w:rsidRDefault="003A5122" w:rsidP="00126454">
      <w:pPr>
        <w:tabs>
          <w:tab w:val="left" w:pos="6960"/>
        </w:tabs>
        <w:ind w:left="-510"/>
        <w:rPr>
          <w:rFonts w:asciiTheme="minorHAnsi" w:hAnsiTheme="minorHAnsi" w:cs="Arial"/>
          <w:sz w:val="26"/>
          <w:szCs w:val="26"/>
        </w:rPr>
      </w:pPr>
    </w:p>
    <w:p w:rsidR="003A5122" w:rsidRDefault="003A5122" w:rsidP="00126454">
      <w:pPr>
        <w:tabs>
          <w:tab w:val="left" w:pos="6960"/>
        </w:tabs>
        <w:ind w:left="-510"/>
        <w:rPr>
          <w:rFonts w:asciiTheme="minorHAnsi" w:hAnsiTheme="minorHAnsi" w:cs="Arial"/>
          <w:sz w:val="26"/>
          <w:szCs w:val="26"/>
        </w:rPr>
      </w:pPr>
    </w:p>
    <w:p w:rsidR="003A5122" w:rsidRDefault="003A5122" w:rsidP="00126454">
      <w:pPr>
        <w:tabs>
          <w:tab w:val="left" w:pos="6960"/>
        </w:tabs>
        <w:ind w:left="-510"/>
        <w:rPr>
          <w:rFonts w:asciiTheme="minorHAnsi" w:hAnsiTheme="minorHAnsi" w:cs="Arial"/>
          <w:sz w:val="26"/>
          <w:szCs w:val="26"/>
        </w:rPr>
      </w:pPr>
    </w:p>
    <w:p w:rsidR="003A5122" w:rsidRDefault="003A5122" w:rsidP="00126454">
      <w:pPr>
        <w:tabs>
          <w:tab w:val="left" w:pos="6960"/>
        </w:tabs>
        <w:ind w:left="-510"/>
        <w:rPr>
          <w:rFonts w:asciiTheme="minorHAnsi" w:hAnsiTheme="minorHAnsi" w:cs="Arial"/>
          <w:sz w:val="26"/>
          <w:szCs w:val="26"/>
        </w:rPr>
      </w:pPr>
    </w:p>
    <w:p w:rsidR="003A5122" w:rsidRDefault="003A5122" w:rsidP="00126454">
      <w:pPr>
        <w:tabs>
          <w:tab w:val="left" w:pos="6960"/>
        </w:tabs>
        <w:ind w:left="-510"/>
        <w:rPr>
          <w:rFonts w:asciiTheme="minorHAnsi" w:hAnsiTheme="minorHAnsi" w:cs="Arial"/>
          <w:sz w:val="26"/>
          <w:szCs w:val="26"/>
        </w:rPr>
      </w:pPr>
    </w:p>
    <w:p w:rsidR="003A5122" w:rsidRDefault="003A5122" w:rsidP="00126454">
      <w:pPr>
        <w:tabs>
          <w:tab w:val="left" w:pos="6960"/>
        </w:tabs>
        <w:ind w:left="-510"/>
        <w:rPr>
          <w:rFonts w:asciiTheme="minorHAnsi" w:hAnsiTheme="minorHAnsi" w:cs="Arial"/>
          <w:sz w:val="26"/>
          <w:szCs w:val="26"/>
        </w:rPr>
      </w:pPr>
    </w:p>
    <w:p w:rsidR="003A5122" w:rsidRDefault="003A5122" w:rsidP="00126454">
      <w:pPr>
        <w:tabs>
          <w:tab w:val="left" w:pos="6960"/>
        </w:tabs>
        <w:ind w:left="-510"/>
        <w:rPr>
          <w:rFonts w:asciiTheme="minorHAnsi" w:hAnsiTheme="minorHAnsi" w:cs="Arial"/>
          <w:sz w:val="26"/>
          <w:szCs w:val="26"/>
        </w:rPr>
      </w:pPr>
    </w:p>
    <w:p w:rsidR="00366A2D" w:rsidRPr="003A5122" w:rsidRDefault="00366A2D" w:rsidP="00366A2D">
      <w:pPr>
        <w:numPr>
          <w:ilvl w:val="0"/>
          <w:numId w:val="34"/>
        </w:numPr>
        <w:spacing w:line="276" w:lineRule="auto"/>
        <w:ind w:left="-567" w:firstLine="0"/>
        <w:jc w:val="both"/>
        <w:rPr>
          <w:rFonts w:ascii="Calibri" w:hAnsi="Calibri" w:cs="Arial"/>
          <w:bCs/>
          <w:sz w:val="22"/>
          <w:szCs w:val="22"/>
        </w:rPr>
      </w:pPr>
      <w:r w:rsidRPr="003A5122">
        <w:rPr>
          <w:rFonts w:ascii="Calibri" w:hAnsi="Calibri" w:cs="Arial"/>
          <w:b/>
          <w:bCs/>
          <w:sz w:val="22"/>
          <w:szCs w:val="22"/>
        </w:rPr>
        <w:t>Wzrost akcji kredytowej</w:t>
      </w:r>
      <w:r w:rsidRPr="003A5122">
        <w:rPr>
          <w:rFonts w:ascii="Calibri" w:hAnsi="Calibri" w:cs="Arial"/>
          <w:bCs/>
          <w:sz w:val="22"/>
          <w:szCs w:val="22"/>
        </w:rPr>
        <w:t xml:space="preserve"> widoczny w silnym przyroście należności od sektora niefinansowego (17,6% r/r) pozwolił na powtórzenie wyniku odsetkowego przy niewielkim wzroście przychodów odsetkowych;</w:t>
      </w:r>
    </w:p>
    <w:p w:rsidR="00366A2D" w:rsidRPr="003A5122" w:rsidRDefault="00366A2D" w:rsidP="00366A2D">
      <w:pPr>
        <w:numPr>
          <w:ilvl w:val="0"/>
          <w:numId w:val="34"/>
        </w:numPr>
        <w:spacing w:line="276" w:lineRule="auto"/>
        <w:ind w:left="-567" w:firstLine="0"/>
        <w:jc w:val="both"/>
        <w:rPr>
          <w:rFonts w:ascii="Calibri" w:hAnsi="Calibri" w:cs="Arial"/>
          <w:bCs/>
          <w:sz w:val="22"/>
          <w:szCs w:val="22"/>
        </w:rPr>
      </w:pPr>
      <w:r w:rsidRPr="003A5122">
        <w:rPr>
          <w:rFonts w:ascii="Calibri" w:hAnsi="Calibri" w:cs="Arial"/>
          <w:b/>
          <w:bCs/>
          <w:sz w:val="22"/>
          <w:szCs w:val="22"/>
        </w:rPr>
        <w:t>Baza depozytowa jest silna</w:t>
      </w:r>
      <w:r w:rsidRPr="003A5122">
        <w:rPr>
          <w:rFonts w:ascii="Calibri" w:hAnsi="Calibri" w:cs="Arial"/>
          <w:bCs/>
          <w:sz w:val="22"/>
          <w:szCs w:val="22"/>
        </w:rPr>
        <w:t xml:space="preserve"> mimo wzrostu akcji kredytowej, a wskaźnik kredytowania wynosi 70,6%;</w:t>
      </w:r>
    </w:p>
    <w:p w:rsidR="00366A2D" w:rsidRPr="003A5122" w:rsidRDefault="00366A2D" w:rsidP="00366A2D">
      <w:pPr>
        <w:numPr>
          <w:ilvl w:val="0"/>
          <w:numId w:val="34"/>
        </w:numPr>
        <w:spacing w:line="276" w:lineRule="auto"/>
        <w:ind w:left="-567" w:firstLine="0"/>
        <w:jc w:val="both"/>
        <w:rPr>
          <w:rFonts w:ascii="Calibri" w:hAnsi="Calibri" w:cs="Arial"/>
          <w:bCs/>
          <w:sz w:val="22"/>
          <w:szCs w:val="22"/>
        </w:rPr>
      </w:pPr>
      <w:r w:rsidRPr="003A5122">
        <w:rPr>
          <w:rFonts w:ascii="Calibri" w:hAnsi="Calibri" w:cs="Arial"/>
          <w:bCs/>
          <w:sz w:val="22"/>
          <w:szCs w:val="22"/>
        </w:rPr>
        <w:t xml:space="preserve">Słabszy wynik prowizyjny został zneutralizowany przez wyższe pozostałe dochody dzięki czemu wynik na działalności bankowej został praktycznie powtórzony. Przy niewielkim spadku kosztów działania (niższe wynagrodzenia) efektywność kosztowa uległa niewielkiej poprawie, ale </w:t>
      </w:r>
      <w:r w:rsidRPr="003A5122">
        <w:rPr>
          <w:rFonts w:ascii="Calibri" w:hAnsi="Calibri" w:cs="Arial"/>
          <w:b/>
          <w:bCs/>
          <w:sz w:val="22"/>
          <w:szCs w:val="22"/>
        </w:rPr>
        <w:t>relacja kosztów do dochodów w dalszym ciągu jest na wysokim poziomie 80,8%</w:t>
      </w:r>
      <w:r w:rsidRPr="003A5122">
        <w:rPr>
          <w:rFonts w:ascii="Calibri" w:hAnsi="Calibri" w:cs="Arial"/>
          <w:bCs/>
          <w:sz w:val="22"/>
          <w:szCs w:val="22"/>
        </w:rPr>
        <w:t>;</w:t>
      </w:r>
    </w:p>
    <w:p w:rsidR="00366A2D" w:rsidRPr="003A5122" w:rsidRDefault="00366A2D" w:rsidP="00366A2D">
      <w:pPr>
        <w:numPr>
          <w:ilvl w:val="0"/>
          <w:numId w:val="34"/>
        </w:numPr>
        <w:spacing w:line="276" w:lineRule="auto"/>
        <w:ind w:left="-567" w:firstLine="0"/>
        <w:jc w:val="both"/>
        <w:rPr>
          <w:rFonts w:ascii="Calibri" w:hAnsi="Calibri" w:cs="Arial"/>
          <w:bCs/>
          <w:sz w:val="22"/>
          <w:szCs w:val="22"/>
        </w:rPr>
      </w:pPr>
      <w:r w:rsidRPr="003A5122">
        <w:rPr>
          <w:rFonts w:ascii="Calibri" w:hAnsi="Calibri" w:cs="Arial"/>
          <w:b/>
          <w:bCs/>
          <w:sz w:val="22"/>
          <w:szCs w:val="22"/>
        </w:rPr>
        <w:t>Na wyniku brutto zaciążyły koszty ryzyka</w:t>
      </w:r>
      <w:r w:rsidRPr="003A5122">
        <w:rPr>
          <w:rFonts w:ascii="Calibri" w:hAnsi="Calibri" w:cs="Arial"/>
          <w:bCs/>
          <w:sz w:val="22"/>
          <w:szCs w:val="22"/>
        </w:rPr>
        <w:t xml:space="preserve"> – jednocześnie zwiększyły się odpisy i zmniejszyły rozwiązania rezerw;</w:t>
      </w:r>
    </w:p>
    <w:p w:rsidR="00366A2D" w:rsidRPr="003A5122" w:rsidRDefault="00366A2D" w:rsidP="00366A2D">
      <w:pPr>
        <w:numPr>
          <w:ilvl w:val="0"/>
          <w:numId w:val="34"/>
        </w:numPr>
        <w:spacing w:line="276" w:lineRule="auto"/>
        <w:ind w:left="-567" w:firstLine="0"/>
        <w:jc w:val="both"/>
        <w:rPr>
          <w:rFonts w:ascii="Calibri" w:hAnsi="Calibri" w:cs="Arial"/>
          <w:bCs/>
          <w:sz w:val="22"/>
          <w:szCs w:val="22"/>
        </w:rPr>
      </w:pPr>
      <w:r w:rsidRPr="003A5122">
        <w:rPr>
          <w:rFonts w:ascii="Calibri" w:hAnsi="Calibri" w:cs="Arial"/>
          <w:b/>
          <w:bCs/>
          <w:sz w:val="22"/>
          <w:szCs w:val="22"/>
        </w:rPr>
        <w:t>Jakość portfela kredytowego jest wysoka</w:t>
      </w:r>
      <w:r w:rsidRPr="003A5122">
        <w:rPr>
          <w:rFonts w:ascii="Calibri" w:hAnsi="Calibri" w:cs="Arial"/>
          <w:bCs/>
          <w:sz w:val="22"/>
          <w:szCs w:val="22"/>
        </w:rPr>
        <w:t>, a udział kredytów zagrożonych w strukturze kredytów ogółem wynosi 2,4%;</w:t>
      </w:r>
    </w:p>
    <w:p w:rsidR="00366A2D" w:rsidRPr="003A5122" w:rsidRDefault="00366A2D" w:rsidP="00366A2D">
      <w:pPr>
        <w:numPr>
          <w:ilvl w:val="0"/>
          <w:numId w:val="34"/>
        </w:numPr>
        <w:spacing w:line="276" w:lineRule="auto"/>
        <w:ind w:left="-567" w:firstLine="0"/>
        <w:jc w:val="both"/>
        <w:rPr>
          <w:rFonts w:ascii="Calibri" w:hAnsi="Calibri" w:cs="Arial"/>
          <w:bCs/>
          <w:sz w:val="22"/>
          <w:szCs w:val="22"/>
        </w:rPr>
      </w:pPr>
      <w:r w:rsidRPr="003A5122">
        <w:rPr>
          <w:rFonts w:ascii="Calibri" w:hAnsi="Calibri" w:cs="Arial"/>
          <w:bCs/>
          <w:sz w:val="22"/>
          <w:szCs w:val="22"/>
        </w:rPr>
        <w:t xml:space="preserve">Wzrost akcji kredytowej przy niewielkim wzroście funduszy własnych banku </w:t>
      </w:r>
      <w:r w:rsidRPr="003A5122">
        <w:rPr>
          <w:rFonts w:ascii="Calibri" w:hAnsi="Calibri" w:cs="Arial"/>
          <w:b/>
          <w:bCs/>
          <w:sz w:val="22"/>
          <w:szCs w:val="22"/>
        </w:rPr>
        <w:t>współczynnik wypłacalności banku obniżył się do 11,53%</w:t>
      </w:r>
      <w:r w:rsidRPr="003A5122">
        <w:rPr>
          <w:rFonts w:ascii="Calibri" w:hAnsi="Calibri" w:cs="Arial"/>
          <w:bCs/>
          <w:sz w:val="22"/>
          <w:szCs w:val="22"/>
        </w:rPr>
        <w:t>, czyli spadł poniżej wartości rekomendowanej prze KNF;</w:t>
      </w:r>
    </w:p>
    <w:p w:rsidR="00366A2D" w:rsidRPr="003A5122" w:rsidRDefault="00366A2D" w:rsidP="00366A2D">
      <w:pPr>
        <w:pStyle w:val="Akapitzlist"/>
        <w:numPr>
          <w:ilvl w:val="0"/>
          <w:numId w:val="34"/>
        </w:numPr>
        <w:tabs>
          <w:tab w:val="left" w:pos="-284"/>
        </w:tabs>
        <w:ind w:left="-567" w:firstLine="0"/>
        <w:jc w:val="both"/>
        <w:rPr>
          <w:rFonts w:cs="Arial"/>
        </w:rPr>
      </w:pPr>
      <w:r w:rsidRPr="003A5122">
        <w:rPr>
          <w:rFonts w:cs="Arial"/>
          <w:bCs/>
        </w:rPr>
        <w:t>Wszystkie nadzorcze normy płynności zostały spełnione.</w:t>
      </w:r>
    </w:p>
    <w:p w:rsidR="00366A2D" w:rsidRDefault="00366A2D" w:rsidP="00126454">
      <w:pPr>
        <w:tabs>
          <w:tab w:val="left" w:pos="6960"/>
        </w:tabs>
        <w:ind w:left="-510"/>
        <w:rPr>
          <w:rFonts w:asciiTheme="minorHAnsi" w:hAnsiTheme="minorHAnsi" w:cs="Arial"/>
          <w:sz w:val="26"/>
          <w:szCs w:val="26"/>
        </w:rPr>
      </w:pPr>
    </w:p>
    <w:p w:rsidR="003A5122" w:rsidRDefault="003A5122" w:rsidP="00126454">
      <w:pPr>
        <w:tabs>
          <w:tab w:val="left" w:pos="6960"/>
        </w:tabs>
        <w:ind w:left="-510"/>
        <w:rPr>
          <w:rFonts w:asciiTheme="minorHAnsi" w:hAnsiTheme="minorHAnsi" w:cs="Arial"/>
          <w:sz w:val="26"/>
          <w:szCs w:val="26"/>
        </w:rPr>
      </w:pPr>
    </w:p>
    <w:p w:rsidR="003A5122" w:rsidRPr="00126454" w:rsidRDefault="003A5122" w:rsidP="00126454">
      <w:pPr>
        <w:tabs>
          <w:tab w:val="left" w:pos="6960"/>
        </w:tabs>
        <w:ind w:left="-510"/>
        <w:rPr>
          <w:rFonts w:asciiTheme="minorHAnsi" w:hAnsiTheme="minorHAnsi" w:cs="Arial"/>
          <w:sz w:val="26"/>
          <w:szCs w:val="26"/>
        </w:rPr>
      </w:pPr>
    </w:p>
    <w:p w:rsidR="00CF2B28" w:rsidRDefault="00CF2B28">
      <w:pPr>
        <w:rPr>
          <w:rFonts w:asciiTheme="minorHAnsi" w:hAnsiTheme="minorHAnsi" w:cs="Arial"/>
          <w:sz w:val="20"/>
          <w:szCs w:val="20"/>
        </w:rPr>
      </w:pPr>
      <w:r>
        <w:rPr>
          <w:rFonts w:asciiTheme="minorHAnsi" w:hAnsiTheme="minorHAnsi" w:cs="Arial"/>
          <w:sz w:val="20"/>
          <w:szCs w:val="20"/>
        </w:rPr>
        <w:br w:type="page"/>
      </w:r>
    </w:p>
    <w:p w:rsidR="00126454" w:rsidRPr="00636E50" w:rsidRDefault="00126454" w:rsidP="00636E50">
      <w:pPr>
        <w:pStyle w:val="Nagwek1"/>
      </w:pPr>
      <w:bookmarkStart w:id="18" w:name="_Toc368572368"/>
      <w:r w:rsidRPr="00636E50">
        <w:lastRenderedPageBreak/>
        <w:t>ORZESKO – KNUROWSKI BANK SPÓŁDZIELCZY W KNUROWIE</w:t>
      </w:r>
      <w:bookmarkEnd w:id="18"/>
    </w:p>
    <w:p w:rsidR="009F57B5" w:rsidRDefault="009F57B5" w:rsidP="00A241C1">
      <w:pPr>
        <w:tabs>
          <w:tab w:val="left" w:pos="6960"/>
        </w:tabs>
        <w:spacing w:line="276" w:lineRule="auto"/>
        <w:ind w:left="-510"/>
        <w:jc w:val="both"/>
        <w:rPr>
          <w:rFonts w:asciiTheme="minorHAnsi" w:hAnsiTheme="minorHAnsi" w:cs="Arial"/>
          <w:sz w:val="26"/>
          <w:szCs w:val="26"/>
        </w:rPr>
      </w:pPr>
    </w:p>
    <w:tbl>
      <w:tblPr>
        <w:tblW w:w="3979" w:type="dxa"/>
        <w:tblInd w:w="60" w:type="dxa"/>
        <w:tblCellMar>
          <w:left w:w="70" w:type="dxa"/>
          <w:right w:w="70" w:type="dxa"/>
        </w:tblCellMar>
        <w:tblLook w:val="04A0"/>
      </w:tblPr>
      <w:tblGrid>
        <w:gridCol w:w="2600"/>
        <w:gridCol w:w="546"/>
        <w:gridCol w:w="833"/>
      </w:tblGrid>
      <w:tr w:rsidR="009F57B5" w:rsidTr="009057F0">
        <w:trPr>
          <w:trHeight w:val="252"/>
        </w:trPr>
        <w:tc>
          <w:tcPr>
            <w:tcW w:w="2600" w:type="dxa"/>
            <w:tcBorders>
              <w:top w:val="single" w:sz="8" w:space="0" w:color="FFFFFF"/>
              <w:left w:val="single" w:sz="8" w:space="0" w:color="FFFFFF"/>
              <w:bottom w:val="single" w:sz="8" w:space="0" w:color="1EAA82"/>
              <w:right w:val="nil"/>
            </w:tcBorders>
            <w:shd w:val="clear" w:color="000000" w:fill="FFFFFF"/>
            <w:vAlign w:val="center"/>
            <w:hideMark/>
          </w:tcPr>
          <w:p w:rsidR="009F57B5" w:rsidRDefault="009F57B5" w:rsidP="009057F0">
            <w:pPr>
              <w:rPr>
                <w:rFonts w:ascii="Calibri" w:hAnsi="Calibri" w:cs="Calibri"/>
                <w:b/>
                <w:bCs/>
                <w:color w:val="000000"/>
                <w:sz w:val="18"/>
                <w:szCs w:val="18"/>
              </w:rPr>
            </w:pPr>
            <w:r>
              <w:rPr>
                <w:rFonts w:ascii="Calibri" w:hAnsi="Calibri" w:cs="Calibri"/>
                <w:b/>
                <w:bCs/>
                <w:color w:val="000000"/>
                <w:sz w:val="18"/>
                <w:szCs w:val="18"/>
              </w:rPr>
              <w:t>Podstawowe dane</w:t>
            </w:r>
          </w:p>
        </w:tc>
        <w:tc>
          <w:tcPr>
            <w:tcW w:w="546" w:type="dxa"/>
            <w:tcBorders>
              <w:top w:val="single" w:sz="8" w:space="0" w:color="FFFFFF"/>
              <w:left w:val="nil"/>
              <w:bottom w:val="single" w:sz="8" w:space="0" w:color="1EAA82"/>
              <w:right w:val="single" w:sz="8" w:space="0" w:color="FFFFFF"/>
            </w:tcBorders>
            <w:shd w:val="clear" w:color="000000" w:fill="FFFFFF"/>
            <w:vAlign w:val="center"/>
            <w:hideMark/>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2012 </w:t>
            </w:r>
          </w:p>
        </w:tc>
        <w:tc>
          <w:tcPr>
            <w:tcW w:w="833" w:type="dxa"/>
            <w:tcBorders>
              <w:top w:val="single" w:sz="8" w:space="0" w:color="FFFFFF"/>
              <w:left w:val="nil"/>
              <w:bottom w:val="single" w:sz="8" w:space="0" w:color="1EAA82"/>
              <w:right w:val="single" w:sz="8" w:space="0" w:color="FFFFFF"/>
            </w:tcBorders>
            <w:shd w:val="clear" w:color="000000" w:fill="FFFFFF"/>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1H’13</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Suma bilansowa [mln PLN]</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528</w:t>
            </w:r>
          </w:p>
        </w:tc>
        <w:tc>
          <w:tcPr>
            <w:tcW w:w="833" w:type="dxa"/>
            <w:tcBorders>
              <w:top w:val="nil"/>
              <w:left w:val="nil"/>
              <w:bottom w:val="nil"/>
              <w:right w:val="nil"/>
            </w:tcBorders>
            <w:shd w:val="clear" w:color="000000" w:fill="FFFFFF"/>
          </w:tcPr>
          <w:p w:rsidR="009F57B5" w:rsidRDefault="00AC45AD" w:rsidP="009057F0">
            <w:pPr>
              <w:jc w:val="right"/>
              <w:rPr>
                <w:rFonts w:ascii="Calibri" w:hAnsi="Calibri" w:cs="Calibri"/>
                <w:color w:val="000000"/>
                <w:sz w:val="18"/>
                <w:szCs w:val="18"/>
              </w:rPr>
            </w:pPr>
            <w:r>
              <w:rPr>
                <w:rFonts w:ascii="Calibri" w:hAnsi="Calibri" w:cs="Calibri"/>
                <w:color w:val="000000"/>
                <w:sz w:val="18"/>
                <w:szCs w:val="18"/>
              </w:rPr>
              <w:t>554</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Kapitały własne [mln PLN]</w:t>
            </w:r>
          </w:p>
        </w:tc>
        <w:tc>
          <w:tcPr>
            <w:tcW w:w="546" w:type="dxa"/>
            <w:tcBorders>
              <w:top w:val="nil"/>
              <w:left w:val="nil"/>
              <w:bottom w:val="nil"/>
              <w:right w:val="nil"/>
            </w:tcBorders>
            <w:shd w:val="clear" w:color="000000" w:fill="FFFFFF"/>
            <w:vAlign w:val="center"/>
          </w:tcPr>
          <w:p w:rsidR="009F57B5" w:rsidRDefault="00976CCC" w:rsidP="009057F0">
            <w:pPr>
              <w:jc w:val="right"/>
              <w:rPr>
                <w:rFonts w:ascii="Calibri" w:hAnsi="Calibri" w:cs="Calibri"/>
                <w:color w:val="000000"/>
                <w:sz w:val="18"/>
                <w:szCs w:val="18"/>
              </w:rPr>
            </w:pPr>
            <w:r>
              <w:rPr>
                <w:rFonts w:ascii="Calibri" w:hAnsi="Calibri" w:cs="Calibri"/>
                <w:color w:val="000000"/>
                <w:sz w:val="18"/>
                <w:szCs w:val="18"/>
              </w:rPr>
              <w:t>33</w:t>
            </w:r>
          </w:p>
        </w:tc>
        <w:tc>
          <w:tcPr>
            <w:tcW w:w="833" w:type="dxa"/>
            <w:tcBorders>
              <w:top w:val="nil"/>
              <w:left w:val="nil"/>
              <w:bottom w:val="nil"/>
              <w:right w:val="nil"/>
            </w:tcBorders>
            <w:shd w:val="clear" w:color="000000" w:fill="FFFFFF"/>
          </w:tcPr>
          <w:p w:rsidR="009F57B5" w:rsidRDefault="00AC45AD" w:rsidP="009057F0">
            <w:pPr>
              <w:jc w:val="right"/>
              <w:rPr>
                <w:rFonts w:ascii="Calibri" w:hAnsi="Calibri" w:cs="Calibri"/>
                <w:color w:val="000000"/>
                <w:sz w:val="18"/>
                <w:szCs w:val="18"/>
              </w:rPr>
            </w:pPr>
            <w:r>
              <w:rPr>
                <w:rFonts w:ascii="Calibri" w:hAnsi="Calibri" w:cs="Calibri"/>
                <w:color w:val="000000"/>
                <w:sz w:val="18"/>
                <w:szCs w:val="18"/>
              </w:rPr>
              <w:t>47</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 xml:space="preserve">Współczynnik wypłacalności [%]                      </w:t>
            </w:r>
          </w:p>
        </w:tc>
        <w:tc>
          <w:tcPr>
            <w:tcW w:w="546" w:type="dxa"/>
            <w:tcBorders>
              <w:top w:val="nil"/>
              <w:left w:val="nil"/>
              <w:bottom w:val="nil"/>
              <w:right w:val="nil"/>
            </w:tcBorders>
            <w:shd w:val="clear" w:color="000000" w:fill="FFFFFF"/>
            <w:vAlign w:val="center"/>
          </w:tcPr>
          <w:p w:rsidR="009F57B5" w:rsidRDefault="00122843" w:rsidP="009057F0">
            <w:pPr>
              <w:jc w:val="right"/>
              <w:rPr>
                <w:rFonts w:ascii="Calibri" w:hAnsi="Calibri" w:cs="Calibri"/>
                <w:color w:val="000000"/>
                <w:sz w:val="18"/>
                <w:szCs w:val="18"/>
              </w:rPr>
            </w:pPr>
            <w:r>
              <w:rPr>
                <w:rFonts w:ascii="Calibri" w:hAnsi="Calibri" w:cs="Calibri"/>
                <w:color w:val="000000"/>
                <w:sz w:val="18"/>
                <w:szCs w:val="18"/>
              </w:rPr>
              <w:t>10,9</w:t>
            </w:r>
          </w:p>
        </w:tc>
        <w:tc>
          <w:tcPr>
            <w:tcW w:w="833" w:type="dxa"/>
            <w:tcBorders>
              <w:top w:val="nil"/>
              <w:left w:val="nil"/>
              <w:bottom w:val="nil"/>
              <w:right w:val="nil"/>
            </w:tcBorders>
            <w:shd w:val="clear" w:color="000000" w:fill="FFFFFF"/>
          </w:tcPr>
          <w:p w:rsidR="009F57B5" w:rsidRDefault="00AC45AD" w:rsidP="009057F0">
            <w:pPr>
              <w:jc w:val="right"/>
              <w:rPr>
                <w:rFonts w:ascii="Calibri" w:hAnsi="Calibri" w:cs="Calibri"/>
                <w:color w:val="000000"/>
                <w:sz w:val="18"/>
                <w:szCs w:val="18"/>
              </w:rPr>
            </w:pPr>
            <w:r>
              <w:rPr>
                <w:rFonts w:ascii="Calibri" w:hAnsi="Calibri" w:cs="Calibri"/>
                <w:color w:val="000000"/>
                <w:sz w:val="18"/>
                <w:szCs w:val="18"/>
              </w:rPr>
              <w:t>13,1</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C/I [%]</w:t>
            </w:r>
          </w:p>
        </w:tc>
        <w:tc>
          <w:tcPr>
            <w:tcW w:w="546" w:type="dxa"/>
            <w:tcBorders>
              <w:top w:val="nil"/>
              <w:left w:val="nil"/>
              <w:bottom w:val="nil"/>
              <w:right w:val="nil"/>
            </w:tcBorders>
            <w:shd w:val="clear" w:color="000000" w:fill="FFFFFF"/>
            <w:vAlign w:val="center"/>
          </w:tcPr>
          <w:p w:rsidR="009F57B5" w:rsidRDefault="00122843" w:rsidP="009057F0">
            <w:pPr>
              <w:jc w:val="right"/>
              <w:rPr>
                <w:rFonts w:ascii="Calibri" w:hAnsi="Calibri" w:cs="Calibri"/>
                <w:color w:val="000000"/>
                <w:sz w:val="18"/>
                <w:szCs w:val="18"/>
              </w:rPr>
            </w:pPr>
            <w:r>
              <w:rPr>
                <w:rFonts w:ascii="Calibri" w:hAnsi="Calibri" w:cs="Calibri"/>
                <w:color w:val="000000"/>
                <w:sz w:val="18"/>
                <w:szCs w:val="18"/>
              </w:rPr>
              <w:t>84,7</w:t>
            </w:r>
          </w:p>
        </w:tc>
        <w:tc>
          <w:tcPr>
            <w:tcW w:w="833" w:type="dxa"/>
            <w:tcBorders>
              <w:top w:val="nil"/>
              <w:left w:val="nil"/>
              <w:bottom w:val="nil"/>
              <w:right w:val="nil"/>
            </w:tcBorders>
            <w:shd w:val="clear" w:color="000000" w:fill="FFFFFF"/>
          </w:tcPr>
          <w:p w:rsidR="009F57B5" w:rsidRDefault="00AC45AD" w:rsidP="009057F0">
            <w:pPr>
              <w:jc w:val="right"/>
              <w:rPr>
                <w:rFonts w:ascii="Calibri" w:hAnsi="Calibri" w:cs="Calibri"/>
                <w:color w:val="000000"/>
                <w:sz w:val="18"/>
                <w:szCs w:val="18"/>
              </w:rPr>
            </w:pPr>
            <w:r>
              <w:rPr>
                <w:rFonts w:ascii="Calibri" w:hAnsi="Calibri" w:cs="Calibri"/>
                <w:color w:val="000000"/>
                <w:sz w:val="18"/>
                <w:szCs w:val="18"/>
              </w:rPr>
              <w:t>96,9</w:t>
            </w:r>
          </w:p>
        </w:tc>
      </w:tr>
    </w:tbl>
    <w:p w:rsidR="009F57B5" w:rsidRDefault="009F57B5" w:rsidP="00A241C1">
      <w:pPr>
        <w:tabs>
          <w:tab w:val="left" w:pos="6960"/>
        </w:tabs>
        <w:spacing w:line="276" w:lineRule="auto"/>
        <w:ind w:left="-510"/>
        <w:jc w:val="both"/>
        <w:rPr>
          <w:rFonts w:ascii="Calibri" w:hAnsi="Calibri" w:cs="Arial"/>
          <w:b/>
          <w:bCs/>
          <w:sz w:val="22"/>
          <w:szCs w:val="22"/>
        </w:rPr>
      </w:pPr>
    </w:p>
    <w:p w:rsidR="00F654C7" w:rsidRPr="00A241C1" w:rsidRDefault="00F654C7" w:rsidP="00366A2D">
      <w:pPr>
        <w:tabs>
          <w:tab w:val="left" w:pos="6960"/>
        </w:tabs>
        <w:spacing w:line="276" w:lineRule="auto"/>
        <w:ind w:left="-426"/>
        <w:jc w:val="both"/>
        <w:rPr>
          <w:rFonts w:ascii="Calibri" w:hAnsi="Calibri" w:cs="Arial"/>
          <w:bCs/>
          <w:sz w:val="22"/>
          <w:szCs w:val="22"/>
        </w:rPr>
      </w:pPr>
      <w:r w:rsidRPr="00A241C1">
        <w:rPr>
          <w:rFonts w:ascii="Calibri" w:hAnsi="Calibri" w:cs="Arial"/>
          <w:b/>
          <w:bCs/>
          <w:sz w:val="22"/>
          <w:szCs w:val="22"/>
        </w:rPr>
        <w:t xml:space="preserve">Bank jest nieefektywny kosztowo. </w:t>
      </w:r>
      <w:r w:rsidRPr="00A241C1">
        <w:rPr>
          <w:rFonts w:ascii="Calibri" w:hAnsi="Calibri" w:cs="Arial"/>
          <w:bCs/>
          <w:sz w:val="22"/>
          <w:szCs w:val="22"/>
        </w:rPr>
        <w:t>Orzesko-Knurowski Bank Spółdzielczy w Knurowie w 1H’13 wypracował 9,4 mln PLN zysku na działalności bankowej i 0,5 mln PLN zysku netto.</w:t>
      </w:r>
    </w:p>
    <w:p w:rsidR="00F654C7" w:rsidRDefault="00A241C1" w:rsidP="00126454">
      <w:pPr>
        <w:tabs>
          <w:tab w:val="left" w:pos="6960"/>
        </w:tabs>
        <w:ind w:left="-510"/>
        <w:rPr>
          <w:rFonts w:asciiTheme="minorHAnsi" w:hAnsiTheme="minorHAnsi" w:cs="Arial"/>
          <w:sz w:val="26"/>
          <w:szCs w:val="26"/>
        </w:rPr>
      </w:pPr>
      <w:r>
        <w:rPr>
          <w:rFonts w:asciiTheme="minorHAnsi" w:hAnsiTheme="minorHAnsi" w:cs="Arial"/>
          <w:noProof/>
          <w:sz w:val="26"/>
          <w:szCs w:val="26"/>
        </w:rPr>
        <w:drawing>
          <wp:anchor distT="0" distB="0" distL="114300" distR="114300" simplePos="0" relativeHeight="251671040" behindDoc="1" locked="0" layoutInCell="1" allowOverlap="1">
            <wp:simplePos x="0" y="0"/>
            <wp:positionH relativeFrom="column">
              <wp:posOffset>3181985</wp:posOffset>
            </wp:positionH>
            <wp:positionV relativeFrom="paragraph">
              <wp:posOffset>163195</wp:posOffset>
            </wp:positionV>
            <wp:extent cx="3457575" cy="2114550"/>
            <wp:effectExtent l="19050" t="0" r="9525" b="0"/>
            <wp:wrapNone/>
            <wp:docPr id="43"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cstate="print"/>
                    <a:srcRect/>
                    <a:stretch>
                      <a:fillRect/>
                    </a:stretch>
                  </pic:blipFill>
                  <pic:spPr bwMode="auto">
                    <a:xfrm>
                      <a:off x="0" y="0"/>
                      <a:ext cx="3457575" cy="2114550"/>
                    </a:xfrm>
                    <a:prstGeom prst="rect">
                      <a:avLst/>
                    </a:prstGeom>
                    <a:noFill/>
                    <a:ln w="9525">
                      <a:noFill/>
                      <a:miter lim="800000"/>
                      <a:headEnd/>
                      <a:tailEnd/>
                    </a:ln>
                  </pic:spPr>
                </pic:pic>
              </a:graphicData>
            </a:graphic>
          </wp:anchor>
        </w:drawing>
      </w:r>
      <w:r>
        <w:rPr>
          <w:rFonts w:asciiTheme="minorHAnsi" w:hAnsiTheme="minorHAnsi" w:cs="Arial"/>
          <w:noProof/>
          <w:sz w:val="26"/>
          <w:szCs w:val="26"/>
        </w:rPr>
        <w:drawing>
          <wp:anchor distT="0" distB="0" distL="114300" distR="114300" simplePos="0" relativeHeight="251670016" behindDoc="1" locked="0" layoutInCell="1" allowOverlap="1">
            <wp:simplePos x="0" y="0"/>
            <wp:positionH relativeFrom="column">
              <wp:posOffset>-389890</wp:posOffset>
            </wp:positionH>
            <wp:positionV relativeFrom="paragraph">
              <wp:posOffset>115570</wp:posOffset>
            </wp:positionV>
            <wp:extent cx="3524250" cy="2095500"/>
            <wp:effectExtent l="19050" t="0" r="0" b="0"/>
            <wp:wrapNone/>
            <wp:docPr id="42"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cstate="print"/>
                    <a:srcRect/>
                    <a:stretch>
                      <a:fillRect/>
                    </a:stretch>
                  </pic:blipFill>
                  <pic:spPr bwMode="auto">
                    <a:xfrm>
                      <a:off x="0" y="0"/>
                      <a:ext cx="3524250" cy="2095500"/>
                    </a:xfrm>
                    <a:prstGeom prst="rect">
                      <a:avLst/>
                    </a:prstGeom>
                    <a:noFill/>
                    <a:ln w="9525">
                      <a:noFill/>
                      <a:miter lim="800000"/>
                      <a:headEnd/>
                      <a:tailEnd/>
                    </a:ln>
                  </pic:spPr>
                </pic:pic>
              </a:graphicData>
            </a:graphic>
          </wp:anchor>
        </w:drawing>
      </w:r>
    </w:p>
    <w:p w:rsidR="00F654C7" w:rsidRDefault="00F654C7" w:rsidP="00126454">
      <w:pPr>
        <w:tabs>
          <w:tab w:val="left" w:pos="6960"/>
        </w:tabs>
        <w:ind w:left="-510"/>
        <w:rPr>
          <w:rFonts w:asciiTheme="minorHAnsi" w:hAnsiTheme="minorHAnsi" w:cs="Arial"/>
          <w:sz w:val="26"/>
          <w:szCs w:val="26"/>
        </w:rPr>
      </w:pPr>
    </w:p>
    <w:p w:rsidR="00F654C7" w:rsidRDefault="00F654C7" w:rsidP="00126454">
      <w:pPr>
        <w:tabs>
          <w:tab w:val="left" w:pos="6960"/>
        </w:tabs>
        <w:ind w:left="-510"/>
        <w:rPr>
          <w:rFonts w:asciiTheme="minorHAnsi" w:hAnsiTheme="minorHAnsi" w:cs="Arial"/>
          <w:sz w:val="26"/>
          <w:szCs w:val="26"/>
        </w:rPr>
      </w:pPr>
    </w:p>
    <w:p w:rsidR="00A241C1" w:rsidRDefault="00A241C1" w:rsidP="00126454">
      <w:pPr>
        <w:tabs>
          <w:tab w:val="left" w:pos="6960"/>
        </w:tabs>
        <w:ind w:left="-510"/>
        <w:rPr>
          <w:rFonts w:asciiTheme="minorHAnsi" w:hAnsiTheme="minorHAnsi" w:cs="Arial"/>
          <w:sz w:val="26"/>
          <w:szCs w:val="26"/>
        </w:rPr>
      </w:pPr>
    </w:p>
    <w:p w:rsidR="00A241C1" w:rsidRDefault="00A241C1" w:rsidP="00126454">
      <w:pPr>
        <w:tabs>
          <w:tab w:val="left" w:pos="6960"/>
        </w:tabs>
        <w:ind w:left="-510"/>
        <w:rPr>
          <w:rFonts w:asciiTheme="minorHAnsi" w:hAnsiTheme="minorHAnsi" w:cs="Arial"/>
          <w:sz w:val="26"/>
          <w:szCs w:val="26"/>
        </w:rPr>
      </w:pPr>
    </w:p>
    <w:p w:rsidR="00A241C1" w:rsidRDefault="00A241C1" w:rsidP="00126454">
      <w:pPr>
        <w:tabs>
          <w:tab w:val="left" w:pos="6960"/>
        </w:tabs>
        <w:ind w:left="-510"/>
        <w:rPr>
          <w:rFonts w:asciiTheme="minorHAnsi" w:hAnsiTheme="minorHAnsi" w:cs="Arial"/>
          <w:sz w:val="26"/>
          <w:szCs w:val="26"/>
        </w:rPr>
      </w:pPr>
    </w:p>
    <w:p w:rsidR="00A241C1" w:rsidRDefault="00A241C1" w:rsidP="00126454">
      <w:pPr>
        <w:tabs>
          <w:tab w:val="left" w:pos="6960"/>
        </w:tabs>
        <w:ind w:left="-510"/>
        <w:rPr>
          <w:rFonts w:asciiTheme="minorHAnsi" w:hAnsiTheme="minorHAnsi" w:cs="Arial"/>
          <w:sz w:val="26"/>
          <w:szCs w:val="26"/>
        </w:rPr>
      </w:pPr>
    </w:p>
    <w:p w:rsidR="00A241C1" w:rsidRDefault="00A241C1" w:rsidP="00126454">
      <w:pPr>
        <w:tabs>
          <w:tab w:val="left" w:pos="6960"/>
        </w:tabs>
        <w:ind w:left="-510"/>
        <w:rPr>
          <w:rFonts w:asciiTheme="minorHAnsi" w:hAnsiTheme="minorHAnsi" w:cs="Arial"/>
          <w:sz w:val="26"/>
          <w:szCs w:val="26"/>
        </w:rPr>
      </w:pPr>
    </w:p>
    <w:p w:rsidR="00A241C1" w:rsidRDefault="00A241C1" w:rsidP="00126454">
      <w:pPr>
        <w:tabs>
          <w:tab w:val="left" w:pos="6960"/>
        </w:tabs>
        <w:ind w:left="-510"/>
        <w:rPr>
          <w:rFonts w:asciiTheme="minorHAnsi" w:hAnsiTheme="minorHAnsi" w:cs="Arial"/>
          <w:sz w:val="26"/>
          <w:szCs w:val="26"/>
        </w:rPr>
      </w:pPr>
    </w:p>
    <w:p w:rsidR="00A241C1" w:rsidRDefault="00A241C1" w:rsidP="00126454">
      <w:pPr>
        <w:tabs>
          <w:tab w:val="left" w:pos="6960"/>
        </w:tabs>
        <w:ind w:left="-510"/>
        <w:rPr>
          <w:rFonts w:asciiTheme="minorHAnsi" w:hAnsiTheme="minorHAnsi" w:cs="Arial"/>
          <w:sz w:val="26"/>
          <w:szCs w:val="26"/>
        </w:rPr>
      </w:pPr>
    </w:p>
    <w:p w:rsidR="00A241C1" w:rsidRDefault="00A241C1" w:rsidP="00126454">
      <w:pPr>
        <w:tabs>
          <w:tab w:val="left" w:pos="6960"/>
        </w:tabs>
        <w:ind w:left="-510"/>
        <w:rPr>
          <w:rFonts w:asciiTheme="minorHAnsi" w:hAnsiTheme="minorHAnsi" w:cs="Arial"/>
          <w:sz w:val="26"/>
          <w:szCs w:val="26"/>
        </w:rPr>
      </w:pPr>
    </w:p>
    <w:p w:rsidR="00A241C1" w:rsidRDefault="00A241C1" w:rsidP="00126454">
      <w:pPr>
        <w:tabs>
          <w:tab w:val="left" w:pos="6960"/>
        </w:tabs>
        <w:ind w:left="-510"/>
        <w:rPr>
          <w:rFonts w:asciiTheme="minorHAnsi" w:hAnsiTheme="minorHAnsi" w:cs="Arial"/>
          <w:sz w:val="26"/>
          <w:szCs w:val="26"/>
        </w:rPr>
      </w:pPr>
    </w:p>
    <w:p w:rsidR="00366A2D" w:rsidRPr="00A241C1" w:rsidRDefault="00366A2D" w:rsidP="00366A2D">
      <w:pPr>
        <w:numPr>
          <w:ilvl w:val="0"/>
          <w:numId w:val="36"/>
        </w:numPr>
        <w:spacing w:line="276" w:lineRule="auto"/>
        <w:ind w:left="-426" w:firstLine="0"/>
        <w:jc w:val="both"/>
        <w:rPr>
          <w:rFonts w:ascii="Calibri" w:hAnsi="Calibri" w:cs="Arial"/>
          <w:bCs/>
          <w:sz w:val="22"/>
          <w:szCs w:val="22"/>
        </w:rPr>
      </w:pPr>
      <w:r w:rsidRPr="00A241C1">
        <w:rPr>
          <w:rFonts w:ascii="Calibri" w:hAnsi="Calibri" w:cs="Arial"/>
          <w:b/>
          <w:bCs/>
          <w:sz w:val="22"/>
          <w:szCs w:val="22"/>
        </w:rPr>
        <w:t>Portfel kredytowy banku wzrósł</w:t>
      </w:r>
      <w:r w:rsidRPr="00A241C1">
        <w:rPr>
          <w:rFonts w:ascii="Calibri" w:hAnsi="Calibri" w:cs="Arial"/>
          <w:bCs/>
          <w:sz w:val="22"/>
          <w:szCs w:val="22"/>
        </w:rPr>
        <w:t xml:space="preserve"> w ciągu roku o ok. 10% do 304 mln PLN. Czynnik ten zneutralizował na poziomie przychodów odsetkowych negatywny wpływ spadku stóp procentowych, ale przy jednoczesnym wzroście depozytów wynik odsetkowy obniżył się o 18%. Marża odsetkowa netto banku spadła w 1H’13 o 0,48 p.p. do 2,93%;</w:t>
      </w:r>
    </w:p>
    <w:p w:rsidR="00366A2D" w:rsidRPr="00A241C1" w:rsidRDefault="00366A2D" w:rsidP="00366A2D">
      <w:pPr>
        <w:numPr>
          <w:ilvl w:val="0"/>
          <w:numId w:val="36"/>
        </w:numPr>
        <w:spacing w:line="276" w:lineRule="auto"/>
        <w:ind w:left="-426" w:firstLine="0"/>
        <w:jc w:val="both"/>
        <w:rPr>
          <w:rFonts w:ascii="Calibri" w:hAnsi="Calibri" w:cs="Arial"/>
          <w:bCs/>
          <w:sz w:val="22"/>
          <w:szCs w:val="22"/>
        </w:rPr>
      </w:pPr>
      <w:r w:rsidRPr="00A241C1">
        <w:rPr>
          <w:rFonts w:ascii="Calibri" w:hAnsi="Calibri" w:cs="Arial"/>
          <w:bCs/>
          <w:sz w:val="22"/>
          <w:szCs w:val="22"/>
        </w:rPr>
        <w:t xml:space="preserve">Głównie pod wpływem słabszego wyniku odsetkowego wynik na działalności bankowej obniżył się o 18%. Przy niewielkim wzroście kosztów działania widoczny jest </w:t>
      </w:r>
      <w:r w:rsidRPr="00A241C1">
        <w:rPr>
          <w:rFonts w:ascii="Calibri" w:hAnsi="Calibri" w:cs="Arial"/>
          <w:b/>
          <w:bCs/>
          <w:sz w:val="22"/>
          <w:szCs w:val="22"/>
        </w:rPr>
        <w:t>nieefektywność kosztowa banku</w:t>
      </w:r>
      <w:r w:rsidRPr="00A241C1">
        <w:rPr>
          <w:rFonts w:ascii="Calibri" w:hAnsi="Calibri" w:cs="Arial"/>
          <w:bCs/>
          <w:sz w:val="22"/>
          <w:szCs w:val="22"/>
        </w:rPr>
        <w:t xml:space="preserve"> (relacja kosztów do dochodów wzrosła do bardzo wysokiego poziomu 96,9%);</w:t>
      </w:r>
    </w:p>
    <w:p w:rsidR="00366A2D" w:rsidRPr="00A241C1" w:rsidRDefault="00366A2D" w:rsidP="00366A2D">
      <w:pPr>
        <w:numPr>
          <w:ilvl w:val="0"/>
          <w:numId w:val="36"/>
        </w:numPr>
        <w:spacing w:line="276" w:lineRule="auto"/>
        <w:ind w:left="-426" w:firstLine="0"/>
        <w:jc w:val="both"/>
        <w:rPr>
          <w:rFonts w:ascii="Calibri" w:hAnsi="Calibri" w:cs="Arial"/>
          <w:bCs/>
          <w:sz w:val="22"/>
          <w:szCs w:val="22"/>
        </w:rPr>
      </w:pPr>
      <w:r w:rsidRPr="00A241C1">
        <w:rPr>
          <w:rFonts w:ascii="Calibri" w:hAnsi="Calibri" w:cs="Arial"/>
          <w:b/>
          <w:bCs/>
          <w:sz w:val="22"/>
          <w:szCs w:val="22"/>
        </w:rPr>
        <w:t>Jakość portfela kredytowego lekko poprawiła się (ale wciąż jest słaba)</w:t>
      </w:r>
      <w:r w:rsidRPr="00A241C1">
        <w:rPr>
          <w:rFonts w:ascii="Calibri" w:hAnsi="Calibri" w:cs="Arial"/>
          <w:bCs/>
          <w:sz w:val="22"/>
          <w:szCs w:val="22"/>
        </w:rPr>
        <w:t xml:space="preserve"> wobec ustabilizowania kredytów zagrożonych przy wzroście akcji kredytowej udział kredytów zagrożonych w strukturze ogółem zmniejszył się o 0,4 p.p. do 12,2%. Bank co prawda dokonał większych odpisów niż przed rokiem, ale jednocześnie rozwiązał rezerwy o wartości blisko dwukrotnie większej niż przed rokiem, a obniżenie kosztów ryzyka pozytywnie wpłynęło na wynik brutto (gdyby nie ten czynnik wynik byłyby o połowę niższy);</w:t>
      </w:r>
    </w:p>
    <w:p w:rsidR="00366A2D" w:rsidRPr="00A241C1" w:rsidRDefault="00366A2D" w:rsidP="00366A2D">
      <w:pPr>
        <w:numPr>
          <w:ilvl w:val="0"/>
          <w:numId w:val="36"/>
        </w:numPr>
        <w:spacing w:line="276" w:lineRule="auto"/>
        <w:ind w:left="-426" w:firstLine="0"/>
        <w:jc w:val="both"/>
        <w:rPr>
          <w:rFonts w:ascii="Calibri" w:hAnsi="Calibri" w:cs="Arial"/>
          <w:bCs/>
          <w:sz w:val="22"/>
          <w:szCs w:val="22"/>
        </w:rPr>
      </w:pPr>
      <w:r w:rsidRPr="00A241C1">
        <w:rPr>
          <w:rFonts w:ascii="Calibri" w:hAnsi="Calibri" w:cs="Arial"/>
          <w:bCs/>
          <w:sz w:val="22"/>
          <w:szCs w:val="22"/>
        </w:rPr>
        <w:t>Bank wzmacnia bazę depozytową, ale przyrost kredytów na tym tle jest niewielki. Pozostałą część zgromadzonych środków bank lokował na rynku międzybankowym i w dłużne papiery wartościowe. Bank nie podał jakie są koszty i przychody w poszczególnych kategoriach w efekcie nie można ocenić wpływu tych działań, tj. czy baza depozytowa była pozyskiwana drożej niż korzyści wynikające z lokowania środków w innym banku;</w:t>
      </w:r>
    </w:p>
    <w:p w:rsidR="00366A2D" w:rsidRPr="00A241C1" w:rsidRDefault="00366A2D" w:rsidP="00366A2D">
      <w:pPr>
        <w:pStyle w:val="Akapitzlist"/>
        <w:numPr>
          <w:ilvl w:val="0"/>
          <w:numId w:val="36"/>
        </w:numPr>
        <w:tabs>
          <w:tab w:val="left" w:pos="-142"/>
        </w:tabs>
        <w:ind w:left="-426" w:firstLine="0"/>
        <w:jc w:val="both"/>
        <w:rPr>
          <w:rFonts w:cs="Arial"/>
        </w:rPr>
      </w:pPr>
      <w:r w:rsidRPr="00A241C1">
        <w:rPr>
          <w:rFonts w:cs="Arial"/>
          <w:bCs/>
        </w:rPr>
        <w:t xml:space="preserve">Bank otrzymał zgodę od KNF na zaliczenie do funduszy uzupełniających banku pożyczki podporządkowanej od Banku BPS o wartości 7 mln PLN. W efekcie kapitały wzrosły o 8,8 mln PLN, tj. 13%, co umożliwiło </w:t>
      </w:r>
      <w:r w:rsidRPr="00A241C1">
        <w:rPr>
          <w:rFonts w:cs="Arial"/>
          <w:b/>
          <w:bCs/>
        </w:rPr>
        <w:t>wzrost współczynnika wypłacalności do 13,06%</w:t>
      </w:r>
      <w:r w:rsidRPr="00A241C1">
        <w:rPr>
          <w:rFonts w:cs="Arial"/>
          <w:bCs/>
        </w:rPr>
        <w:t>. Szacujemy, że gdyby nie pożyczka (i zgoda KNF) współczynnik wypłacalności spadłby do ok. 11,12%.</w:t>
      </w:r>
    </w:p>
    <w:p w:rsidR="00366A2D" w:rsidRDefault="00366A2D" w:rsidP="00126454">
      <w:pPr>
        <w:tabs>
          <w:tab w:val="left" w:pos="6960"/>
        </w:tabs>
        <w:ind w:left="-510"/>
        <w:rPr>
          <w:rFonts w:asciiTheme="minorHAnsi" w:hAnsiTheme="minorHAnsi" w:cs="Arial"/>
          <w:sz w:val="26"/>
          <w:szCs w:val="26"/>
        </w:rPr>
      </w:pPr>
    </w:p>
    <w:p w:rsidR="00A241C1" w:rsidRDefault="00A241C1" w:rsidP="00126454">
      <w:pPr>
        <w:tabs>
          <w:tab w:val="left" w:pos="6960"/>
        </w:tabs>
        <w:ind w:left="-510"/>
        <w:rPr>
          <w:rFonts w:asciiTheme="minorHAnsi" w:hAnsiTheme="minorHAnsi" w:cs="Arial"/>
          <w:sz w:val="26"/>
          <w:szCs w:val="26"/>
        </w:rPr>
      </w:pPr>
    </w:p>
    <w:p w:rsidR="00CF2B28" w:rsidRDefault="00CF2B28">
      <w:pPr>
        <w:rPr>
          <w:rFonts w:asciiTheme="minorHAnsi" w:hAnsiTheme="minorHAnsi" w:cs="Arial"/>
          <w:sz w:val="20"/>
          <w:szCs w:val="20"/>
        </w:rPr>
      </w:pPr>
      <w:r>
        <w:rPr>
          <w:rFonts w:asciiTheme="minorHAnsi" w:hAnsiTheme="minorHAnsi" w:cs="Arial"/>
          <w:sz w:val="20"/>
          <w:szCs w:val="20"/>
        </w:rPr>
        <w:br w:type="page"/>
      </w:r>
    </w:p>
    <w:p w:rsidR="00126454" w:rsidRPr="00636E50" w:rsidRDefault="00126454" w:rsidP="00636E50">
      <w:pPr>
        <w:pStyle w:val="Nagwek1"/>
      </w:pPr>
      <w:bookmarkStart w:id="19" w:name="_Toc368572369"/>
      <w:r w:rsidRPr="00636E50">
        <w:lastRenderedPageBreak/>
        <w:t>PODLASKO – MAZURSKI BANK SPÓŁDZIELCZY W ZABŁUDOWIE</w:t>
      </w:r>
      <w:bookmarkEnd w:id="19"/>
    </w:p>
    <w:p w:rsidR="003A5122" w:rsidRDefault="003A5122" w:rsidP="00126454">
      <w:pPr>
        <w:tabs>
          <w:tab w:val="left" w:pos="6960"/>
        </w:tabs>
        <w:ind w:left="-510"/>
        <w:rPr>
          <w:rFonts w:asciiTheme="minorHAnsi" w:hAnsiTheme="minorHAnsi" w:cs="Arial"/>
          <w:sz w:val="26"/>
          <w:szCs w:val="26"/>
        </w:rPr>
      </w:pPr>
    </w:p>
    <w:tbl>
      <w:tblPr>
        <w:tblW w:w="3979" w:type="dxa"/>
        <w:tblInd w:w="60" w:type="dxa"/>
        <w:tblCellMar>
          <w:left w:w="70" w:type="dxa"/>
          <w:right w:w="70" w:type="dxa"/>
        </w:tblCellMar>
        <w:tblLook w:val="04A0"/>
      </w:tblPr>
      <w:tblGrid>
        <w:gridCol w:w="2600"/>
        <w:gridCol w:w="546"/>
        <w:gridCol w:w="833"/>
      </w:tblGrid>
      <w:tr w:rsidR="009F57B5" w:rsidTr="009057F0">
        <w:trPr>
          <w:trHeight w:val="252"/>
        </w:trPr>
        <w:tc>
          <w:tcPr>
            <w:tcW w:w="2600" w:type="dxa"/>
            <w:tcBorders>
              <w:top w:val="single" w:sz="8" w:space="0" w:color="FFFFFF"/>
              <w:left w:val="single" w:sz="8" w:space="0" w:color="FFFFFF"/>
              <w:bottom w:val="single" w:sz="8" w:space="0" w:color="1EAA82"/>
              <w:right w:val="nil"/>
            </w:tcBorders>
            <w:shd w:val="clear" w:color="000000" w:fill="FFFFFF"/>
            <w:vAlign w:val="center"/>
            <w:hideMark/>
          </w:tcPr>
          <w:p w:rsidR="009F57B5" w:rsidRDefault="009F57B5" w:rsidP="009057F0">
            <w:pPr>
              <w:rPr>
                <w:rFonts w:ascii="Calibri" w:hAnsi="Calibri" w:cs="Calibri"/>
                <w:b/>
                <w:bCs/>
                <w:color w:val="000000"/>
                <w:sz w:val="18"/>
                <w:szCs w:val="18"/>
              </w:rPr>
            </w:pPr>
            <w:r>
              <w:rPr>
                <w:rFonts w:ascii="Calibri" w:hAnsi="Calibri" w:cs="Calibri"/>
                <w:b/>
                <w:bCs/>
                <w:color w:val="000000"/>
                <w:sz w:val="18"/>
                <w:szCs w:val="18"/>
              </w:rPr>
              <w:t>Podstawowe dane</w:t>
            </w:r>
          </w:p>
        </w:tc>
        <w:tc>
          <w:tcPr>
            <w:tcW w:w="546" w:type="dxa"/>
            <w:tcBorders>
              <w:top w:val="single" w:sz="8" w:space="0" w:color="FFFFFF"/>
              <w:left w:val="nil"/>
              <w:bottom w:val="single" w:sz="8" w:space="0" w:color="1EAA82"/>
              <w:right w:val="single" w:sz="8" w:space="0" w:color="FFFFFF"/>
            </w:tcBorders>
            <w:shd w:val="clear" w:color="000000" w:fill="FFFFFF"/>
            <w:vAlign w:val="center"/>
            <w:hideMark/>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2012 </w:t>
            </w:r>
          </w:p>
        </w:tc>
        <w:tc>
          <w:tcPr>
            <w:tcW w:w="833" w:type="dxa"/>
            <w:tcBorders>
              <w:top w:val="single" w:sz="8" w:space="0" w:color="FFFFFF"/>
              <w:left w:val="nil"/>
              <w:bottom w:val="single" w:sz="8" w:space="0" w:color="1EAA82"/>
              <w:right w:val="single" w:sz="8" w:space="0" w:color="FFFFFF"/>
            </w:tcBorders>
            <w:shd w:val="clear" w:color="000000" w:fill="FFFFFF"/>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1H’13</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Suma bilansowa [mln PLN]</w:t>
            </w:r>
          </w:p>
        </w:tc>
        <w:tc>
          <w:tcPr>
            <w:tcW w:w="546" w:type="dxa"/>
            <w:tcBorders>
              <w:top w:val="nil"/>
              <w:left w:val="nil"/>
              <w:bottom w:val="nil"/>
              <w:right w:val="nil"/>
            </w:tcBorders>
            <w:shd w:val="clear" w:color="000000" w:fill="FFFFFF"/>
            <w:vAlign w:val="center"/>
          </w:tcPr>
          <w:p w:rsidR="009F57B5" w:rsidRDefault="00122843" w:rsidP="009057F0">
            <w:pPr>
              <w:jc w:val="right"/>
              <w:rPr>
                <w:rFonts w:ascii="Calibri" w:hAnsi="Calibri" w:cs="Calibri"/>
                <w:color w:val="000000"/>
                <w:sz w:val="18"/>
                <w:szCs w:val="18"/>
              </w:rPr>
            </w:pPr>
            <w:r>
              <w:rPr>
                <w:rFonts w:ascii="Calibri" w:hAnsi="Calibri" w:cs="Calibri"/>
                <w:color w:val="000000"/>
                <w:sz w:val="18"/>
                <w:szCs w:val="18"/>
              </w:rPr>
              <w:t>238</w:t>
            </w:r>
          </w:p>
        </w:tc>
        <w:tc>
          <w:tcPr>
            <w:tcW w:w="833" w:type="dxa"/>
            <w:tcBorders>
              <w:top w:val="nil"/>
              <w:left w:val="nil"/>
              <w:bottom w:val="nil"/>
              <w:right w:val="nil"/>
            </w:tcBorders>
            <w:shd w:val="clear" w:color="000000" w:fill="FFFFFF"/>
          </w:tcPr>
          <w:p w:rsidR="009F57B5" w:rsidRDefault="00AC45AD" w:rsidP="009057F0">
            <w:pPr>
              <w:jc w:val="right"/>
              <w:rPr>
                <w:rFonts w:ascii="Calibri" w:hAnsi="Calibri" w:cs="Calibri"/>
                <w:color w:val="000000"/>
                <w:sz w:val="18"/>
                <w:szCs w:val="18"/>
              </w:rPr>
            </w:pPr>
            <w:r>
              <w:rPr>
                <w:rFonts w:ascii="Calibri" w:hAnsi="Calibri" w:cs="Calibri"/>
                <w:color w:val="000000"/>
                <w:sz w:val="18"/>
                <w:szCs w:val="18"/>
              </w:rPr>
              <w:t>242</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Kapitały własne [mln PLN]</w:t>
            </w:r>
          </w:p>
        </w:tc>
        <w:tc>
          <w:tcPr>
            <w:tcW w:w="546" w:type="dxa"/>
            <w:tcBorders>
              <w:top w:val="nil"/>
              <w:left w:val="nil"/>
              <w:bottom w:val="nil"/>
              <w:right w:val="nil"/>
            </w:tcBorders>
            <w:shd w:val="clear" w:color="000000" w:fill="FFFFFF"/>
            <w:vAlign w:val="center"/>
          </w:tcPr>
          <w:p w:rsidR="009F57B5" w:rsidRDefault="00122843" w:rsidP="009057F0">
            <w:pPr>
              <w:jc w:val="right"/>
              <w:rPr>
                <w:rFonts w:ascii="Calibri" w:hAnsi="Calibri" w:cs="Calibri"/>
                <w:color w:val="000000"/>
                <w:sz w:val="18"/>
                <w:szCs w:val="18"/>
              </w:rPr>
            </w:pPr>
            <w:r>
              <w:rPr>
                <w:rFonts w:ascii="Calibri" w:hAnsi="Calibri" w:cs="Calibri"/>
                <w:color w:val="000000"/>
                <w:sz w:val="18"/>
                <w:szCs w:val="18"/>
              </w:rPr>
              <w:t>15</w:t>
            </w:r>
          </w:p>
        </w:tc>
        <w:tc>
          <w:tcPr>
            <w:tcW w:w="833" w:type="dxa"/>
            <w:tcBorders>
              <w:top w:val="nil"/>
              <w:left w:val="nil"/>
              <w:bottom w:val="nil"/>
              <w:right w:val="nil"/>
            </w:tcBorders>
            <w:shd w:val="clear" w:color="000000" w:fill="FFFFFF"/>
          </w:tcPr>
          <w:p w:rsidR="009F57B5" w:rsidRDefault="00AC45AD" w:rsidP="009057F0">
            <w:pPr>
              <w:jc w:val="right"/>
              <w:rPr>
                <w:rFonts w:ascii="Calibri" w:hAnsi="Calibri" w:cs="Calibri"/>
                <w:color w:val="000000"/>
                <w:sz w:val="18"/>
                <w:szCs w:val="18"/>
              </w:rPr>
            </w:pPr>
            <w:r>
              <w:rPr>
                <w:rFonts w:ascii="Calibri" w:hAnsi="Calibri" w:cs="Calibri"/>
                <w:color w:val="000000"/>
                <w:sz w:val="18"/>
                <w:szCs w:val="18"/>
              </w:rPr>
              <w:t>10</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 xml:space="preserve">Współczynnik wypłacalności [%]                      </w:t>
            </w:r>
          </w:p>
        </w:tc>
        <w:tc>
          <w:tcPr>
            <w:tcW w:w="546" w:type="dxa"/>
            <w:tcBorders>
              <w:top w:val="nil"/>
              <w:left w:val="nil"/>
              <w:bottom w:val="nil"/>
              <w:right w:val="nil"/>
            </w:tcBorders>
            <w:shd w:val="clear" w:color="000000" w:fill="FFFFFF"/>
            <w:vAlign w:val="center"/>
          </w:tcPr>
          <w:p w:rsidR="009F57B5" w:rsidRDefault="00122843" w:rsidP="009057F0">
            <w:pPr>
              <w:jc w:val="right"/>
              <w:rPr>
                <w:rFonts w:ascii="Calibri" w:hAnsi="Calibri" w:cs="Calibri"/>
                <w:color w:val="000000"/>
                <w:sz w:val="18"/>
                <w:szCs w:val="18"/>
              </w:rPr>
            </w:pPr>
            <w:r>
              <w:rPr>
                <w:rFonts w:ascii="Calibri" w:hAnsi="Calibri" w:cs="Calibri"/>
                <w:color w:val="000000"/>
                <w:sz w:val="18"/>
                <w:szCs w:val="18"/>
              </w:rPr>
              <w:t>8,1</w:t>
            </w:r>
          </w:p>
        </w:tc>
        <w:tc>
          <w:tcPr>
            <w:tcW w:w="833" w:type="dxa"/>
            <w:tcBorders>
              <w:top w:val="nil"/>
              <w:left w:val="nil"/>
              <w:bottom w:val="nil"/>
              <w:right w:val="nil"/>
            </w:tcBorders>
            <w:shd w:val="clear" w:color="000000" w:fill="FFFFFF"/>
          </w:tcPr>
          <w:p w:rsidR="009F57B5" w:rsidRDefault="00AC45AD" w:rsidP="009057F0">
            <w:pPr>
              <w:jc w:val="right"/>
              <w:rPr>
                <w:rFonts w:ascii="Calibri" w:hAnsi="Calibri" w:cs="Calibri"/>
                <w:color w:val="000000"/>
                <w:sz w:val="18"/>
                <w:szCs w:val="18"/>
              </w:rPr>
            </w:pPr>
            <w:r>
              <w:rPr>
                <w:rFonts w:ascii="Calibri" w:hAnsi="Calibri" w:cs="Calibri"/>
                <w:color w:val="000000"/>
                <w:sz w:val="18"/>
                <w:szCs w:val="18"/>
              </w:rPr>
              <w:t>8,2</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C/I [%]</w:t>
            </w:r>
          </w:p>
        </w:tc>
        <w:tc>
          <w:tcPr>
            <w:tcW w:w="546" w:type="dxa"/>
            <w:tcBorders>
              <w:top w:val="nil"/>
              <w:left w:val="nil"/>
              <w:bottom w:val="nil"/>
              <w:right w:val="nil"/>
            </w:tcBorders>
            <w:shd w:val="clear" w:color="000000" w:fill="FFFFFF"/>
            <w:vAlign w:val="center"/>
          </w:tcPr>
          <w:p w:rsidR="009F57B5" w:rsidRDefault="00122843" w:rsidP="009057F0">
            <w:pPr>
              <w:jc w:val="right"/>
              <w:rPr>
                <w:rFonts w:ascii="Calibri" w:hAnsi="Calibri" w:cs="Calibri"/>
                <w:color w:val="000000"/>
                <w:sz w:val="18"/>
                <w:szCs w:val="18"/>
              </w:rPr>
            </w:pPr>
            <w:r>
              <w:rPr>
                <w:rFonts w:ascii="Calibri" w:hAnsi="Calibri" w:cs="Calibri"/>
                <w:color w:val="000000"/>
                <w:sz w:val="18"/>
                <w:szCs w:val="18"/>
              </w:rPr>
              <w:t>82,0</w:t>
            </w:r>
          </w:p>
        </w:tc>
        <w:tc>
          <w:tcPr>
            <w:tcW w:w="833" w:type="dxa"/>
            <w:tcBorders>
              <w:top w:val="nil"/>
              <w:left w:val="nil"/>
              <w:bottom w:val="nil"/>
              <w:right w:val="nil"/>
            </w:tcBorders>
            <w:shd w:val="clear" w:color="000000" w:fill="FFFFFF"/>
          </w:tcPr>
          <w:p w:rsidR="009F57B5" w:rsidRDefault="00AC45AD" w:rsidP="009057F0">
            <w:pPr>
              <w:jc w:val="right"/>
              <w:rPr>
                <w:rFonts w:ascii="Calibri" w:hAnsi="Calibri" w:cs="Calibri"/>
                <w:color w:val="000000"/>
                <w:sz w:val="18"/>
                <w:szCs w:val="18"/>
              </w:rPr>
            </w:pPr>
            <w:r>
              <w:rPr>
                <w:rFonts w:ascii="Calibri" w:hAnsi="Calibri" w:cs="Calibri"/>
                <w:color w:val="000000"/>
                <w:sz w:val="18"/>
                <w:szCs w:val="18"/>
              </w:rPr>
              <w:t>87,5</w:t>
            </w:r>
          </w:p>
        </w:tc>
      </w:tr>
    </w:tbl>
    <w:p w:rsidR="009F57B5" w:rsidRDefault="009F57B5" w:rsidP="00126454">
      <w:pPr>
        <w:tabs>
          <w:tab w:val="left" w:pos="6960"/>
        </w:tabs>
        <w:ind w:left="-510"/>
        <w:rPr>
          <w:rFonts w:asciiTheme="minorHAnsi" w:hAnsiTheme="minorHAnsi" w:cs="Arial"/>
          <w:sz w:val="26"/>
          <w:szCs w:val="26"/>
        </w:rPr>
      </w:pPr>
    </w:p>
    <w:p w:rsidR="003A5122" w:rsidRPr="003A5122" w:rsidRDefault="003A5122" w:rsidP="00366A2D">
      <w:pPr>
        <w:tabs>
          <w:tab w:val="left" w:pos="6960"/>
        </w:tabs>
        <w:spacing w:line="276" w:lineRule="auto"/>
        <w:ind w:left="-426"/>
        <w:jc w:val="both"/>
        <w:rPr>
          <w:rFonts w:ascii="Calibri" w:hAnsi="Calibri" w:cs="Arial"/>
          <w:bCs/>
          <w:sz w:val="22"/>
          <w:szCs w:val="22"/>
        </w:rPr>
      </w:pPr>
      <w:r w:rsidRPr="003A5122">
        <w:rPr>
          <w:rFonts w:ascii="Calibri" w:hAnsi="Calibri" w:cs="Arial"/>
          <w:b/>
          <w:bCs/>
          <w:sz w:val="22"/>
          <w:szCs w:val="22"/>
        </w:rPr>
        <w:t>Spadek o połowę zysku netto.</w:t>
      </w:r>
      <w:r w:rsidRPr="003A5122">
        <w:rPr>
          <w:rFonts w:ascii="Calibri" w:hAnsi="Calibri" w:cs="Arial"/>
          <w:bCs/>
          <w:sz w:val="22"/>
          <w:szCs w:val="22"/>
        </w:rPr>
        <w:t xml:space="preserve"> Podlasko-Mazurski Bank Spółdzielczy w Zabłudowie wypracował 4,4 mln PLN zysku na działalności bankowej osiągając przy tym 0,5 mln PLN zysku netto</w:t>
      </w:r>
    </w:p>
    <w:p w:rsidR="003A5122" w:rsidRDefault="003A5122" w:rsidP="00126454">
      <w:pPr>
        <w:tabs>
          <w:tab w:val="left" w:pos="6960"/>
        </w:tabs>
        <w:ind w:left="-510"/>
        <w:rPr>
          <w:rFonts w:asciiTheme="minorHAnsi" w:hAnsiTheme="minorHAnsi" w:cs="Arial"/>
          <w:sz w:val="26"/>
          <w:szCs w:val="26"/>
        </w:rPr>
      </w:pPr>
      <w:r>
        <w:rPr>
          <w:rFonts w:asciiTheme="minorHAnsi" w:hAnsiTheme="minorHAnsi" w:cs="Arial"/>
          <w:noProof/>
          <w:sz w:val="26"/>
          <w:szCs w:val="26"/>
        </w:rPr>
        <w:drawing>
          <wp:anchor distT="0" distB="0" distL="114300" distR="114300" simplePos="0" relativeHeight="251663872" behindDoc="1" locked="0" layoutInCell="1" allowOverlap="1">
            <wp:simplePos x="0" y="0"/>
            <wp:positionH relativeFrom="column">
              <wp:posOffset>3172460</wp:posOffset>
            </wp:positionH>
            <wp:positionV relativeFrom="paragraph">
              <wp:posOffset>134620</wp:posOffset>
            </wp:positionV>
            <wp:extent cx="3457575" cy="2124075"/>
            <wp:effectExtent l="19050" t="0" r="9525" b="0"/>
            <wp:wrapNone/>
            <wp:docPr id="37"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cstate="print"/>
                    <a:srcRect/>
                    <a:stretch>
                      <a:fillRect/>
                    </a:stretch>
                  </pic:blipFill>
                  <pic:spPr bwMode="auto">
                    <a:xfrm>
                      <a:off x="0" y="0"/>
                      <a:ext cx="3457575" cy="2124075"/>
                    </a:xfrm>
                    <a:prstGeom prst="rect">
                      <a:avLst/>
                    </a:prstGeom>
                    <a:noFill/>
                    <a:ln w="9525">
                      <a:noFill/>
                      <a:miter lim="800000"/>
                      <a:headEnd/>
                      <a:tailEnd/>
                    </a:ln>
                  </pic:spPr>
                </pic:pic>
              </a:graphicData>
            </a:graphic>
          </wp:anchor>
        </w:drawing>
      </w:r>
      <w:r>
        <w:rPr>
          <w:rFonts w:asciiTheme="minorHAnsi" w:hAnsiTheme="minorHAnsi" w:cs="Arial"/>
          <w:noProof/>
          <w:sz w:val="26"/>
          <w:szCs w:val="26"/>
        </w:rPr>
        <w:drawing>
          <wp:anchor distT="0" distB="0" distL="114300" distR="114300" simplePos="0" relativeHeight="251664896" behindDoc="1" locked="0" layoutInCell="1" allowOverlap="1">
            <wp:simplePos x="0" y="0"/>
            <wp:positionH relativeFrom="column">
              <wp:posOffset>-399415</wp:posOffset>
            </wp:positionH>
            <wp:positionV relativeFrom="paragraph">
              <wp:posOffset>134620</wp:posOffset>
            </wp:positionV>
            <wp:extent cx="3524250" cy="2095500"/>
            <wp:effectExtent l="19050" t="0" r="0" b="0"/>
            <wp:wrapNone/>
            <wp:docPr id="36"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cstate="print"/>
                    <a:srcRect/>
                    <a:stretch>
                      <a:fillRect/>
                    </a:stretch>
                  </pic:blipFill>
                  <pic:spPr bwMode="auto">
                    <a:xfrm>
                      <a:off x="0" y="0"/>
                      <a:ext cx="3524250" cy="2095500"/>
                    </a:xfrm>
                    <a:prstGeom prst="rect">
                      <a:avLst/>
                    </a:prstGeom>
                    <a:noFill/>
                    <a:ln w="9525">
                      <a:noFill/>
                      <a:miter lim="800000"/>
                      <a:headEnd/>
                      <a:tailEnd/>
                    </a:ln>
                  </pic:spPr>
                </pic:pic>
              </a:graphicData>
            </a:graphic>
          </wp:anchor>
        </w:drawing>
      </w:r>
    </w:p>
    <w:p w:rsidR="003A5122" w:rsidRDefault="003A5122" w:rsidP="00126454">
      <w:pPr>
        <w:tabs>
          <w:tab w:val="left" w:pos="6960"/>
        </w:tabs>
        <w:ind w:left="-510"/>
        <w:rPr>
          <w:rFonts w:asciiTheme="minorHAnsi" w:hAnsiTheme="minorHAnsi" w:cs="Arial"/>
          <w:sz w:val="26"/>
          <w:szCs w:val="26"/>
        </w:rPr>
      </w:pPr>
    </w:p>
    <w:p w:rsidR="003A5122" w:rsidRDefault="003A5122" w:rsidP="00126454">
      <w:pPr>
        <w:tabs>
          <w:tab w:val="left" w:pos="6960"/>
        </w:tabs>
        <w:ind w:left="-510"/>
        <w:rPr>
          <w:rFonts w:asciiTheme="minorHAnsi" w:hAnsiTheme="minorHAnsi" w:cs="Arial"/>
          <w:sz w:val="26"/>
          <w:szCs w:val="26"/>
        </w:rPr>
      </w:pPr>
    </w:p>
    <w:p w:rsidR="003A5122" w:rsidRDefault="003A5122" w:rsidP="00126454">
      <w:pPr>
        <w:tabs>
          <w:tab w:val="left" w:pos="6960"/>
        </w:tabs>
        <w:ind w:left="-510"/>
        <w:rPr>
          <w:rFonts w:asciiTheme="minorHAnsi" w:hAnsiTheme="minorHAnsi" w:cs="Arial"/>
          <w:sz w:val="26"/>
          <w:szCs w:val="26"/>
        </w:rPr>
      </w:pPr>
    </w:p>
    <w:p w:rsidR="003A5122" w:rsidRDefault="003A5122" w:rsidP="00126454">
      <w:pPr>
        <w:tabs>
          <w:tab w:val="left" w:pos="6960"/>
        </w:tabs>
        <w:ind w:left="-510"/>
        <w:rPr>
          <w:rFonts w:asciiTheme="minorHAnsi" w:hAnsiTheme="minorHAnsi" w:cs="Arial"/>
          <w:sz w:val="26"/>
          <w:szCs w:val="26"/>
        </w:rPr>
      </w:pPr>
    </w:p>
    <w:p w:rsidR="003A5122" w:rsidRPr="00126454" w:rsidRDefault="003A5122" w:rsidP="00126454">
      <w:pPr>
        <w:tabs>
          <w:tab w:val="left" w:pos="6960"/>
        </w:tabs>
        <w:ind w:left="-510"/>
        <w:rPr>
          <w:rFonts w:asciiTheme="minorHAnsi" w:hAnsiTheme="minorHAnsi" w:cs="Arial"/>
          <w:sz w:val="26"/>
          <w:szCs w:val="26"/>
        </w:rPr>
      </w:pPr>
    </w:p>
    <w:p w:rsidR="00CF2B28" w:rsidRDefault="00CF2B28" w:rsidP="00CF2B28">
      <w:pPr>
        <w:tabs>
          <w:tab w:val="left" w:pos="6960"/>
        </w:tabs>
        <w:ind w:left="-510"/>
        <w:rPr>
          <w:rFonts w:asciiTheme="minorHAnsi" w:hAnsiTheme="minorHAnsi" w:cs="Arial"/>
          <w:sz w:val="20"/>
          <w:szCs w:val="20"/>
        </w:rPr>
      </w:pPr>
    </w:p>
    <w:p w:rsidR="003A5122" w:rsidRDefault="003A5122" w:rsidP="00283CA5">
      <w:pPr>
        <w:tabs>
          <w:tab w:val="left" w:pos="6960"/>
        </w:tabs>
        <w:ind w:left="-510"/>
        <w:rPr>
          <w:rFonts w:asciiTheme="minorHAnsi" w:hAnsiTheme="minorHAnsi" w:cs="Arial"/>
          <w:sz w:val="20"/>
          <w:szCs w:val="20"/>
        </w:rPr>
      </w:pPr>
    </w:p>
    <w:p w:rsidR="003A5122" w:rsidRDefault="003A5122" w:rsidP="00283CA5">
      <w:pPr>
        <w:tabs>
          <w:tab w:val="left" w:pos="6960"/>
        </w:tabs>
        <w:ind w:left="-510"/>
        <w:rPr>
          <w:rFonts w:asciiTheme="minorHAnsi" w:hAnsiTheme="minorHAnsi" w:cs="Arial"/>
          <w:sz w:val="20"/>
          <w:szCs w:val="20"/>
        </w:rPr>
      </w:pPr>
    </w:p>
    <w:p w:rsidR="003A5122" w:rsidRDefault="003A5122" w:rsidP="00283CA5">
      <w:pPr>
        <w:tabs>
          <w:tab w:val="left" w:pos="6960"/>
        </w:tabs>
        <w:ind w:left="-510"/>
        <w:rPr>
          <w:rFonts w:asciiTheme="minorHAnsi" w:hAnsiTheme="minorHAnsi" w:cs="Arial"/>
          <w:sz w:val="20"/>
          <w:szCs w:val="20"/>
        </w:rPr>
      </w:pPr>
    </w:p>
    <w:p w:rsidR="003A5122" w:rsidRDefault="003A5122" w:rsidP="00283CA5">
      <w:pPr>
        <w:tabs>
          <w:tab w:val="left" w:pos="6960"/>
        </w:tabs>
        <w:ind w:left="-510"/>
        <w:rPr>
          <w:rFonts w:asciiTheme="minorHAnsi" w:hAnsiTheme="minorHAnsi" w:cs="Arial"/>
          <w:sz w:val="20"/>
          <w:szCs w:val="20"/>
        </w:rPr>
      </w:pPr>
    </w:p>
    <w:p w:rsidR="003A5122" w:rsidRDefault="003A5122" w:rsidP="00283CA5">
      <w:pPr>
        <w:tabs>
          <w:tab w:val="left" w:pos="6960"/>
        </w:tabs>
        <w:ind w:left="-510"/>
        <w:rPr>
          <w:rFonts w:asciiTheme="minorHAnsi" w:hAnsiTheme="minorHAnsi" w:cs="Arial"/>
          <w:sz w:val="20"/>
          <w:szCs w:val="20"/>
        </w:rPr>
      </w:pPr>
    </w:p>
    <w:p w:rsidR="003A5122" w:rsidRDefault="003A5122" w:rsidP="00283CA5">
      <w:pPr>
        <w:tabs>
          <w:tab w:val="left" w:pos="6960"/>
        </w:tabs>
        <w:ind w:left="-510"/>
        <w:rPr>
          <w:rFonts w:asciiTheme="minorHAnsi" w:hAnsiTheme="minorHAnsi" w:cs="Arial"/>
          <w:sz w:val="20"/>
          <w:szCs w:val="20"/>
        </w:rPr>
      </w:pPr>
    </w:p>
    <w:p w:rsidR="00366A2D" w:rsidRPr="003A5122" w:rsidRDefault="00366A2D" w:rsidP="00366A2D">
      <w:pPr>
        <w:numPr>
          <w:ilvl w:val="0"/>
          <w:numId w:val="33"/>
        </w:numPr>
        <w:spacing w:line="276" w:lineRule="auto"/>
        <w:ind w:left="-426" w:firstLine="0"/>
        <w:jc w:val="both"/>
        <w:rPr>
          <w:rFonts w:ascii="Calibri" w:hAnsi="Calibri" w:cs="Arial"/>
          <w:bCs/>
          <w:sz w:val="22"/>
          <w:szCs w:val="22"/>
        </w:rPr>
      </w:pPr>
      <w:r w:rsidRPr="003A5122">
        <w:rPr>
          <w:rFonts w:ascii="Calibri" w:hAnsi="Calibri" w:cs="Arial"/>
          <w:bCs/>
          <w:sz w:val="22"/>
          <w:szCs w:val="22"/>
        </w:rPr>
        <w:t xml:space="preserve">Spadek stóp procentowych w połączeniu ze zmniejszeniem wartości portfela kredytowego banku w ciągu pierwszych 6 miesięcy br. o 2,6 mln PLN (ok. 2% do blisko 151 mln PLN) spowodował spadek przychodów odsetkowych i w konsekwencji przekładając się na </w:t>
      </w:r>
      <w:r w:rsidRPr="003A5122">
        <w:rPr>
          <w:rFonts w:ascii="Calibri" w:hAnsi="Calibri" w:cs="Arial"/>
          <w:b/>
          <w:bCs/>
          <w:sz w:val="22"/>
          <w:szCs w:val="22"/>
        </w:rPr>
        <w:t>niższy wynik odsetkowy</w:t>
      </w:r>
      <w:r w:rsidRPr="003A5122">
        <w:rPr>
          <w:rFonts w:ascii="Calibri" w:hAnsi="Calibri" w:cs="Arial"/>
          <w:bCs/>
          <w:sz w:val="22"/>
          <w:szCs w:val="22"/>
        </w:rPr>
        <w:t>. Marża odsetkowa netto zmniejszyła się o 0,3 p.p. do 3,0%.;</w:t>
      </w:r>
    </w:p>
    <w:p w:rsidR="00366A2D" w:rsidRPr="003A5122" w:rsidRDefault="00366A2D" w:rsidP="00366A2D">
      <w:pPr>
        <w:numPr>
          <w:ilvl w:val="0"/>
          <w:numId w:val="33"/>
        </w:numPr>
        <w:spacing w:line="276" w:lineRule="auto"/>
        <w:ind w:left="-426" w:firstLine="0"/>
        <w:jc w:val="both"/>
        <w:rPr>
          <w:rFonts w:ascii="Calibri" w:hAnsi="Calibri" w:cs="Arial"/>
          <w:bCs/>
          <w:sz w:val="22"/>
          <w:szCs w:val="22"/>
        </w:rPr>
      </w:pPr>
      <w:r w:rsidRPr="003A5122">
        <w:rPr>
          <w:rFonts w:ascii="Calibri" w:hAnsi="Calibri" w:cs="Arial"/>
          <w:bCs/>
          <w:sz w:val="22"/>
          <w:szCs w:val="22"/>
        </w:rPr>
        <w:t xml:space="preserve">Koszty z tytułu odsetek zmniejszyły się w mniejszym stopniu ze względu </w:t>
      </w:r>
      <w:r w:rsidRPr="003A5122">
        <w:rPr>
          <w:rFonts w:ascii="Calibri" w:hAnsi="Calibri" w:cs="Arial"/>
          <w:b/>
          <w:bCs/>
          <w:sz w:val="22"/>
          <w:szCs w:val="22"/>
        </w:rPr>
        <w:t xml:space="preserve">na systematyczny przyrost bazy depozytowej </w:t>
      </w:r>
      <w:r w:rsidRPr="003A5122">
        <w:rPr>
          <w:rFonts w:ascii="Calibri" w:hAnsi="Calibri" w:cs="Arial"/>
          <w:bCs/>
          <w:sz w:val="22"/>
          <w:szCs w:val="22"/>
        </w:rPr>
        <w:t>(relacja kredytów do depozytów wynosi 69,9%);</w:t>
      </w:r>
    </w:p>
    <w:p w:rsidR="00366A2D" w:rsidRPr="003A5122" w:rsidRDefault="00366A2D" w:rsidP="00366A2D">
      <w:pPr>
        <w:numPr>
          <w:ilvl w:val="0"/>
          <w:numId w:val="33"/>
        </w:numPr>
        <w:spacing w:line="276" w:lineRule="auto"/>
        <w:ind w:left="-426" w:firstLine="0"/>
        <w:jc w:val="both"/>
        <w:rPr>
          <w:rFonts w:ascii="Calibri" w:hAnsi="Calibri" w:cs="Arial"/>
          <w:bCs/>
          <w:sz w:val="22"/>
          <w:szCs w:val="22"/>
        </w:rPr>
      </w:pPr>
      <w:r w:rsidRPr="003A5122">
        <w:rPr>
          <w:rFonts w:ascii="Calibri" w:hAnsi="Calibri" w:cs="Arial"/>
          <w:b/>
          <w:bCs/>
          <w:sz w:val="22"/>
          <w:szCs w:val="22"/>
        </w:rPr>
        <w:t>Efektywność kosztowa jest bardzo niska</w:t>
      </w:r>
      <w:r w:rsidRPr="003A5122">
        <w:rPr>
          <w:rFonts w:ascii="Calibri" w:hAnsi="Calibri" w:cs="Arial"/>
          <w:bCs/>
          <w:sz w:val="22"/>
          <w:szCs w:val="22"/>
        </w:rPr>
        <w:t xml:space="preserve"> (koszty do dochodów kształtują się w relacji 87,5%);</w:t>
      </w:r>
    </w:p>
    <w:p w:rsidR="00366A2D" w:rsidRPr="003A5122" w:rsidRDefault="00366A2D" w:rsidP="00366A2D">
      <w:pPr>
        <w:numPr>
          <w:ilvl w:val="0"/>
          <w:numId w:val="33"/>
        </w:numPr>
        <w:spacing w:line="276" w:lineRule="auto"/>
        <w:ind w:left="-426" w:firstLine="0"/>
        <w:jc w:val="both"/>
        <w:rPr>
          <w:rFonts w:ascii="Calibri" w:hAnsi="Calibri" w:cs="Arial"/>
          <w:bCs/>
          <w:sz w:val="22"/>
          <w:szCs w:val="22"/>
        </w:rPr>
      </w:pPr>
      <w:r w:rsidRPr="003A5122">
        <w:rPr>
          <w:rFonts w:ascii="Calibri" w:hAnsi="Calibri" w:cs="Arial"/>
          <w:bCs/>
          <w:sz w:val="22"/>
          <w:szCs w:val="22"/>
        </w:rPr>
        <w:t xml:space="preserve">Na wypracowanym wyniku netto </w:t>
      </w:r>
      <w:r w:rsidRPr="003A5122">
        <w:rPr>
          <w:rFonts w:ascii="Calibri" w:hAnsi="Calibri" w:cs="Arial"/>
          <w:b/>
          <w:bCs/>
          <w:sz w:val="22"/>
          <w:szCs w:val="22"/>
        </w:rPr>
        <w:t>dodatkowo zaciążyły wyższe koszty ryzyka</w:t>
      </w:r>
      <w:r w:rsidRPr="003A5122">
        <w:rPr>
          <w:rFonts w:ascii="Calibri" w:hAnsi="Calibri" w:cs="Arial"/>
          <w:bCs/>
          <w:sz w:val="22"/>
          <w:szCs w:val="22"/>
        </w:rPr>
        <w:t>;</w:t>
      </w:r>
    </w:p>
    <w:p w:rsidR="00366A2D" w:rsidRPr="003A5122" w:rsidRDefault="00366A2D" w:rsidP="00366A2D">
      <w:pPr>
        <w:numPr>
          <w:ilvl w:val="0"/>
          <w:numId w:val="33"/>
        </w:numPr>
        <w:spacing w:line="276" w:lineRule="auto"/>
        <w:ind w:left="-426" w:firstLine="0"/>
        <w:jc w:val="both"/>
        <w:rPr>
          <w:rFonts w:ascii="Calibri" w:hAnsi="Calibri" w:cs="Arial"/>
          <w:bCs/>
          <w:sz w:val="22"/>
          <w:szCs w:val="22"/>
        </w:rPr>
      </w:pPr>
      <w:r w:rsidRPr="003A5122">
        <w:rPr>
          <w:rFonts w:ascii="Calibri" w:hAnsi="Calibri" w:cs="Arial"/>
          <w:b/>
          <w:bCs/>
          <w:sz w:val="22"/>
          <w:szCs w:val="22"/>
        </w:rPr>
        <w:t>Jakość portfela kredytowego jest niska</w:t>
      </w:r>
      <w:r w:rsidRPr="003A5122">
        <w:rPr>
          <w:rFonts w:ascii="Calibri" w:hAnsi="Calibri" w:cs="Arial"/>
          <w:bCs/>
          <w:sz w:val="22"/>
          <w:szCs w:val="22"/>
        </w:rPr>
        <w:t>, ale udział kredytów zagrożonych w strukturze kredytów ogółem wynosi 11,5%;</w:t>
      </w:r>
    </w:p>
    <w:p w:rsidR="00366A2D" w:rsidRPr="003A5122" w:rsidRDefault="00366A2D" w:rsidP="00366A2D">
      <w:pPr>
        <w:numPr>
          <w:ilvl w:val="0"/>
          <w:numId w:val="33"/>
        </w:numPr>
        <w:spacing w:line="276" w:lineRule="auto"/>
        <w:ind w:left="-426" w:firstLine="0"/>
        <w:jc w:val="both"/>
        <w:rPr>
          <w:rFonts w:ascii="Calibri" w:hAnsi="Calibri" w:cs="Arial"/>
          <w:bCs/>
          <w:sz w:val="22"/>
          <w:szCs w:val="22"/>
        </w:rPr>
      </w:pPr>
      <w:r w:rsidRPr="003A5122">
        <w:rPr>
          <w:rFonts w:ascii="Calibri" w:hAnsi="Calibri" w:cs="Arial"/>
          <w:b/>
          <w:bCs/>
          <w:sz w:val="22"/>
          <w:szCs w:val="22"/>
        </w:rPr>
        <w:t>W ciągu roku współczynnik wypłacalności obniżył się o 0,45 p.p. do 8,20%</w:t>
      </w:r>
      <w:r w:rsidRPr="003A5122">
        <w:rPr>
          <w:rFonts w:ascii="Calibri" w:hAnsi="Calibri" w:cs="Arial"/>
          <w:bCs/>
          <w:sz w:val="22"/>
          <w:szCs w:val="22"/>
        </w:rPr>
        <w:t>. Pomimo wzrostu funduszy zasobowych o 32% r/r, fundusze własne banku zmniejszyły się o blisko 5% r/r, głównie przez fundusze uzupełniające banku (wartość pożyczek podporządkowanych zmniejszyła się o połowę do 0,8 mln PLN);</w:t>
      </w:r>
    </w:p>
    <w:p w:rsidR="00366A2D" w:rsidRPr="003A5122" w:rsidRDefault="00366A2D" w:rsidP="00366A2D">
      <w:pPr>
        <w:numPr>
          <w:ilvl w:val="0"/>
          <w:numId w:val="33"/>
        </w:numPr>
        <w:spacing w:line="276" w:lineRule="auto"/>
        <w:ind w:left="-426" w:firstLine="0"/>
        <w:jc w:val="both"/>
        <w:rPr>
          <w:rFonts w:ascii="Calibri" w:hAnsi="Calibri" w:cs="Arial"/>
          <w:bCs/>
          <w:sz w:val="22"/>
          <w:szCs w:val="22"/>
        </w:rPr>
      </w:pPr>
      <w:r w:rsidRPr="003A5122">
        <w:rPr>
          <w:rFonts w:ascii="Calibri" w:hAnsi="Calibri" w:cs="Arial"/>
          <w:b/>
          <w:bCs/>
          <w:sz w:val="22"/>
          <w:szCs w:val="22"/>
        </w:rPr>
        <w:t>Wszystkie nadzorcze wskaźniki płynności zostały spełnione.</w:t>
      </w:r>
    </w:p>
    <w:p w:rsidR="003A5122" w:rsidRDefault="003A5122" w:rsidP="00283CA5">
      <w:pPr>
        <w:tabs>
          <w:tab w:val="left" w:pos="6960"/>
        </w:tabs>
        <w:ind w:left="-510"/>
        <w:rPr>
          <w:rFonts w:asciiTheme="minorHAnsi" w:hAnsiTheme="minorHAnsi" w:cs="Arial"/>
          <w:sz w:val="20"/>
          <w:szCs w:val="20"/>
        </w:rPr>
      </w:pPr>
    </w:p>
    <w:p w:rsidR="003A5122" w:rsidRDefault="003A5122" w:rsidP="00283CA5">
      <w:pPr>
        <w:tabs>
          <w:tab w:val="left" w:pos="6960"/>
        </w:tabs>
        <w:ind w:left="-510"/>
        <w:rPr>
          <w:rFonts w:asciiTheme="minorHAnsi" w:hAnsiTheme="minorHAnsi" w:cs="Arial"/>
          <w:sz w:val="20"/>
          <w:szCs w:val="20"/>
        </w:rPr>
      </w:pPr>
    </w:p>
    <w:p w:rsidR="003A5122" w:rsidRDefault="003A5122" w:rsidP="00283CA5">
      <w:pPr>
        <w:tabs>
          <w:tab w:val="left" w:pos="6960"/>
        </w:tabs>
        <w:ind w:left="-510"/>
        <w:rPr>
          <w:rFonts w:asciiTheme="minorHAnsi" w:hAnsiTheme="minorHAnsi" w:cs="Arial"/>
          <w:sz w:val="20"/>
          <w:szCs w:val="20"/>
        </w:rPr>
      </w:pPr>
    </w:p>
    <w:p w:rsidR="003A5122" w:rsidRDefault="003A5122" w:rsidP="00283CA5">
      <w:pPr>
        <w:tabs>
          <w:tab w:val="left" w:pos="6960"/>
        </w:tabs>
        <w:ind w:left="-510"/>
        <w:rPr>
          <w:rFonts w:asciiTheme="minorHAnsi" w:hAnsiTheme="minorHAnsi" w:cs="Arial"/>
          <w:sz w:val="20"/>
          <w:szCs w:val="20"/>
        </w:rPr>
      </w:pPr>
    </w:p>
    <w:p w:rsidR="003A5122" w:rsidRDefault="003A5122" w:rsidP="00283CA5">
      <w:pPr>
        <w:tabs>
          <w:tab w:val="left" w:pos="6960"/>
        </w:tabs>
        <w:ind w:left="-510"/>
        <w:rPr>
          <w:rFonts w:asciiTheme="minorHAnsi" w:hAnsiTheme="minorHAnsi" w:cs="Arial"/>
          <w:sz w:val="20"/>
          <w:szCs w:val="20"/>
        </w:rPr>
      </w:pPr>
    </w:p>
    <w:p w:rsidR="003A5122" w:rsidRDefault="003A5122" w:rsidP="00283CA5">
      <w:pPr>
        <w:tabs>
          <w:tab w:val="left" w:pos="6960"/>
        </w:tabs>
        <w:ind w:left="-510"/>
        <w:rPr>
          <w:rFonts w:asciiTheme="minorHAnsi" w:hAnsiTheme="minorHAnsi" w:cs="Arial"/>
          <w:sz w:val="20"/>
          <w:szCs w:val="20"/>
        </w:rPr>
      </w:pPr>
    </w:p>
    <w:p w:rsidR="003A5122" w:rsidRDefault="003A5122" w:rsidP="00283CA5">
      <w:pPr>
        <w:tabs>
          <w:tab w:val="left" w:pos="6960"/>
        </w:tabs>
        <w:ind w:left="-510"/>
        <w:rPr>
          <w:rFonts w:asciiTheme="minorHAnsi" w:hAnsiTheme="minorHAnsi" w:cs="Arial"/>
          <w:sz w:val="20"/>
          <w:szCs w:val="20"/>
        </w:rPr>
      </w:pPr>
    </w:p>
    <w:p w:rsidR="003A5122" w:rsidRDefault="003A5122" w:rsidP="00283CA5">
      <w:pPr>
        <w:tabs>
          <w:tab w:val="left" w:pos="6960"/>
        </w:tabs>
        <w:ind w:left="-510"/>
        <w:rPr>
          <w:rFonts w:asciiTheme="minorHAnsi" w:hAnsiTheme="minorHAnsi" w:cs="Arial"/>
          <w:sz w:val="20"/>
          <w:szCs w:val="20"/>
        </w:rPr>
      </w:pPr>
    </w:p>
    <w:p w:rsidR="003A5122" w:rsidRDefault="003A5122" w:rsidP="00283CA5">
      <w:pPr>
        <w:tabs>
          <w:tab w:val="left" w:pos="6960"/>
        </w:tabs>
        <w:ind w:left="-510"/>
        <w:rPr>
          <w:rFonts w:asciiTheme="minorHAnsi" w:hAnsiTheme="minorHAnsi" w:cs="Arial"/>
          <w:sz w:val="20"/>
          <w:szCs w:val="20"/>
        </w:rPr>
      </w:pPr>
    </w:p>
    <w:p w:rsidR="003A5122" w:rsidRDefault="003A5122">
      <w:pPr>
        <w:rPr>
          <w:rFonts w:asciiTheme="minorHAnsi" w:hAnsiTheme="minorHAnsi" w:cs="Arial"/>
          <w:sz w:val="26"/>
          <w:szCs w:val="26"/>
        </w:rPr>
      </w:pPr>
      <w:r>
        <w:rPr>
          <w:rFonts w:asciiTheme="minorHAnsi" w:hAnsiTheme="minorHAnsi" w:cs="Arial"/>
          <w:sz w:val="26"/>
          <w:szCs w:val="26"/>
        </w:rPr>
        <w:br w:type="page"/>
      </w:r>
    </w:p>
    <w:p w:rsidR="003A5122" w:rsidRPr="00636E50" w:rsidRDefault="00F654C7" w:rsidP="00636E50">
      <w:pPr>
        <w:pStyle w:val="Nagwek1"/>
      </w:pPr>
      <w:bookmarkStart w:id="20" w:name="_Toc368572370"/>
      <w:r w:rsidRPr="00636E50">
        <w:lastRenderedPageBreak/>
        <w:t>KUJAWSKI BANK SPÓŁDZIELCZY W ALEKSANDROWIE KUJAWSKIM</w:t>
      </w:r>
      <w:bookmarkEnd w:id="20"/>
    </w:p>
    <w:p w:rsidR="00F654C7" w:rsidRDefault="00F654C7" w:rsidP="003A5122">
      <w:pPr>
        <w:tabs>
          <w:tab w:val="left" w:pos="6960"/>
        </w:tabs>
        <w:ind w:left="-510"/>
        <w:rPr>
          <w:rFonts w:asciiTheme="minorHAnsi" w:hAnsiTheme="minorHAnsi" w:cs="Arial"/>
          <w:sz w:val="26"/>
          <w:szCs w:val="26"/>
        </w:rPr>
      </w:pPr>
    </w:p>
    <w:tbl>
      <w:tblPr>
        <w:tblW w:w="3979" w:type="dxa"/>
        <w:tblInd w:w="60" w:type="dxa"/>
        <w:tblCellMar>
          <w:left w:w="70" w:type="dxa"/>
          <w:right w:w="70" w:type="dxa"/>
        </w:tblCellMar>
        <w:tblLook w:val="04A0"/>
      </w:tblPr>
      <w:tblGrid>
        <w:gridCol w:w="2600"/>
        <w:gridCol w:w="546"/>
        <w:gridCol w:w="833"/>
      </w:tblGrid>
      <w:tr w:rsidR="009F57B5" w:rsidTr="009057F0">
        <w:trPr>
          <w:trHeight w:val="252"/>
        </w:trPr>
        <w:tc>
          <w:tcPr>
            <w:tcW w:w="2600" w:type="dxa"/>
            <w:tcBorders>
              <w:top w:val="single" w:sz="8" w:space="0" w:color="FFFFFF"/>
              <w:left w:val="single" w:sz="8" w:space="0" w:color="FFFFFF"/>
              <w:bottom w:val="single" w:sz="8" w:space="0" w:color="1EAA82"/>
              <w:right w:val="nil"/>
            </w:tcBorders>
            <w:shd w:val="clear" w:color="000000" w:fill="FFFFFF"/>
            <w:vAlign w:val="center"/>
            <w:hideMark/>
          </w:tcPr>
          <w:p w:rsidR="009F57B5" w:rsidRDefault="009F57B5" w:rsidP="009057F0">
            <w:pPr>
              <w:rPr>
                <w:rFonts w:ascii="Calibri" w:hAnsi="Calibri" w:cs="Calibri"/>
                <w:b/>
                <w:bCs/>
                <w:color w:val="000000"/>
                <w:sz w:val="18"/>
                <w:szCs w:val="18"/>
              </w:rPr>
            </w:pPr>
            <w:r>
              <w:rPr>
                <w:rFonts w:ascii="Calibri" w:hAnsi="Calibri" w:cs="Calibri"/>
                <w:b/>
                <w:bCs/>
                <w:color w:val="000000"/>
                <w:sz w:val="18"/>
                <w:szCs w:val="18"/>
              </w:rPr>
              <w:t>Podstawowe dane</w:t>
            </w:r>
          </w:p>
        </w:tc>
        <w:tc>
          <w:tcPr>
            <w:tcW w:w="546" w:type="dxa"/>
            <w:tcBorders>
              <w:top w:val="single" w:sz="8" w:space="0" w:color="FFFFFF"/>
              <w:left w:val="nil"/>
              <w:bottom w:val="single" w:sz="8" w:space="0" w:color="1EAA82"/>
              <w:right w:val="single" w:sz="8" w:space="0" w:color="FFFFFF"/>
            </w:tcBorders>
            <w:shd w:val="clear" w:color="000000" w:fill="FFFFFF"/>
            <w:vAlign w:val="center"/>
            <w:hideMark/>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2012 </w:t>
            </w:r>
          </w:p>
        </w:tc>
        <w:tc>
          <w:tcPr>
            <w:tcW w:w="833" w:type="dxa"/>
            <w:tcBorders>
              <w:top w:val="single" w:sz="8" w:space="0" w:color="FFFFFF"/>
              <w:left w:val="nil"/>
              <w:bottom w:val="single" w:sz="8" w:space="0" w:color="1EAA82"/>
              <w:right w:val="single" w:sz="8" w:space="0" w:color="FFFFFF"/>
            </w:tcBorders>
            <w:shd w:val="clear" w:color="000000" w:fill="FFFFFF"/>
          </w:tcPr>
          <w:p w:rsidR="009F57B5" w:rsidRDefault="009F57B5" w:rsidP="009057F0">
            <w:pPr>
              <w:jc w:val="right"/>
              <w:rPr>
                <w:rFonts w:ascii="Calibri" w:hAnsi="Calibri" w:cs="Calibri"/>
                <w:b/>
                <w:bCs/>
                <w:color w:val="000000"/>
                <w:sz w:val="18"/>
                <w:szCs w:val="18"/>
              </w:rPr>
            </w:pPr>
            <w:r>
              <w:rPr>
                <w:rFonts w:ascii="Calibri" w:hAnsi="Calibri" w:cs="Calibri"/>
                <w:b/>
                <w:bCs/>
                <w:color w:val="000000"/>
                <w:sz w:val="18"/>
                <w:szCs w:val="18"/>
              </w:rPr>
              <w:t>1H’13</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Suma bilansowa [mln PLN]</w:t>
            </w:r>
          </w:p>
        </w:tc>
        <w:tc>
          <w:tcPr>
            <w:tcW w:w="546" w:type="dxa"/>
            <w:tcBorders>
              <w:top w:val="nil"/>
              <w:left w:val="nil"/>
              <w:bottom w:val="nil"/>
              <w:right w:val="nil"/>
            </w:tcBorders>
            <w:shd w:val="clear" w:color="000000" w:fill="FFFFFF"/>
            <w:vAlign w:val="center"/>
          </w:tcPr>
          <w:p w:rsidR="009F57B5" w:rsidRDefault="00122843" w:rsidP="009057F0">
            <w:pPr>
              <w:jc w:val="right"/>
              <w:rPr>
                <w:rFonts w:ascii="Calibri" w:hAnsi="Calibri" w:cs="Calibri"/>
                <w:color w:val="000000"/>
                <w:sz w:val="18"/>
                <w:szCs w:val="18"/>
              </w:rPr>
            </w:pPr>
            <w:r>
              <w:rPr>
                <w:rFonts w:ascii="Calibri" w:hAnsi="Calibri" w:cs="Calibri"/>
                <w:color w:val="000000"/>
                <w:sz w:val="18"/>
                <w:szCs w:val="18"/>
              </w:rPr>
              <w:t>174</w:t>
            </w:r>
          </w:p>
        </w:tc>
        <w:tc>
          <w:tcPr>
            <w:tcW w:w="833" w:type="dxa"/>
            <w:tcBorders>
              <w:top w:val="nil"/>
              <w:left w:val="nil"/>
              <w:bottom w:val="nil"/>
              <w:right w:val="nil"/>
            </w:tcBorders>
            <w:shd w:val="clear" w:color="000000" w:fill="FFFFFF"/>
          </w:tcPr>
          <w:p w:rsidR="009F57B5" w:rsidRDefault="00AC45AD" w:rsidP="009057F0">
            <w:pPr>
              <w:jc w:val="right"/>
              <w:rPr>
                <w:rFonts w:ascii="Calibri" w:hAnsi="Calibri" w:cs="Calibri"/>
                <w:color w:val="000000"/>
                <w:sz w:val="18"/>
                <w:szCs w:val="18"/>
              </w:rPr>
            </w:pPr>
            <w:r>
              <w:rPr>
                <w:rFonts w:ascii="Calibri" w:hAnsi="Calibri" w:cs="Calibri"/>
                <w:color w:val="000000"/>
                <w:sz w:val="18"/>
                <w:szCs w:val="18"/>
              </w:rPr>
              <w:t>175</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Kapitały własne [mln PLN]</w:t>
            </w:r>
          </w:p>
        </w:tc>
        <w:tc>
          <w:tcPr>
            <w:tcW w:w="546" w:type="dxa"/>
            <w:tcBorders>
              <w:top w:val="nil"/>
              <w:left w:val="nil"/>
              <w:bottom w:val="nil"/>
              <w:right w:val="nil"/>
            </w:tcBorders>
            <w:shd w:val="clear" w:color="000000" w:fill="FFFFFF"/>
            <w:vAlign w:val="center"/>
          </w:tcPr>
          <w:p w:rsidR="009F57B5" w:rsidRDefault="00122843" w:rsidP="009057F0">
            <w:pPr>
              <w:jc w:val="right"/>
              <w:rPr>
                <w:rFonts w:ascii="Calibri" w:hAnsi="Calibri" w:cs="Calibri"/>
                <w:color w:val="000000"/>
                <w:sz w:val="18"/>
                <w:szCs w:val="18"/>
              </w:rPr>
            </w:pPr>
            <w:r>
              <w:rPr>
                <w:rFonts w:ascii="Calibri" w:hAnsi="Calibri" w:cs="Calibri"/>
                <w:color w:val="000000"/>
                <w:sz w:val="18"/>
                <w:szCs w:val="18"/>
              </w:rPr>
              <w:t>21</w:t>
            </w:r>
          </w:p>
        </w:tc>
        <w:tc>
          <w:tcPr>
            <w:tcW w:w="833" w:type="dxa"/>
            <w:tcBorders>
              <w:top w:val="nil"/>
              <w:left w:val="nil"/>
              <w:bottom w:val="nil"/>
              <w:right w:val="nil"/>
            </w:tcBorders>
            <w:shd w:val="clear" w:color="000000" w:fill="FFFFFF"/>
          </w:tcPr>
          <w:p w:rsidR="009F57B5" w:rsidRDefault="00AC45AD" w:rsidP="009057F0">
            <w:pPr>
              <w:jc w:val="right"/>
              <w:rPr>
                <w:rFonts w:ascii="Calibri" w:hAnsi="Calibri" w:cs="Calibri"/>
                <w:color w:val="000000"/>
                <w:sz w:val="18"/>
                <w:szCs w:val="18"/>
              </w:rPr>
            </w:pPr>
            <w:r>
              <w:rPr>
                <w:rFonts w:ascii="Calibri" w:hAnsi="Calibri" w:cs="Calibri"/>
                <w:color w:val="000000"/>
                <w:sz w:val="18"/>
                <w:szCs w:val="18"/>
              </w:rPr>
              <w:t>22</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 xml:space="preserve">Współczynnik wypłacalności [%]                      </w:t>
            </w:r>
          </w:p>
        </w:tc>
        <w:tc>
          <w:tcPr>
            <w:tcW w:w="546" w:type="dxa"/>
            <w:tcBorders>
              <w:top w:val="nil"/>
              <w:left w:val="nil"/>
              <w:bottom w:val="nil"/>
              <w:right w:val="nil"/>
            </w:tcBorders>
            <w:shd w:val="clear" w:color="000000" w:fill="FFFFFF"/>
            <w:vAlign w:val="center"/>
          </w:tcPr>
          <w:p w:rsidR="009F57B5" w:rsidRDefault="00122843" w:rsidP="009057F0">
            <w:pPr>
              <w:jc w:val="right"/>
              <w:rPr>
                <w:rFonts w:ascii="Calibri" w:hAnsi="Calibri" w:cs="Calibri"/>
                <w:color w:val="000000"/>
                <w:sz w:val="18"/>
                <w:szCs w:val="18"/>
              </w:rPr>
            </w:pPr>
            <w:r>
              <w:rPr>
                <w:rFonts w:ascii="Calibri" w:hAnsi="Calibri" w:cs="Calibri"/>
                <w:color w:val="000000"/>
                <w:sz w:val="18"/>
                <w:szCs w:val="18"/>
              </w:rPr>
              <w:t>17,8</w:t>
            </w:r>
          </w:p>
        </w:tc>
        <w:tc>
          <w:tcPr>
            <w:tcW w:w="833" w:type="dxa"/>
            <w:tcBorders>
              <w:top w:val="nil"/>
              <w:left w:val="nil"/>
              <w:bottom w:val="nil"/>
              <w:right w:val="nil"/>
            </w:tcBorders>
            <w:shd w:val="clear" w:color="000000" w:fill="FFFFFF"/>
          </w:tcPr>
          <w:p w:rsidR="009F57B5" w:rsidRDefault="00AC45AD" w:rsidP="009057F0">
            <w:pPr>
              <w:jc w:val="right"/>
              <w:rPr>
                <w:rFonts w:ascii="Calibri" w:hAnsi="Calibri" w:cs="Calibri"/>
                <w:color w:val="000000"/>
                <w:sz w:val="18"/>
                <w:szCs w:val="18"/>
              </w:rPr>
            </w:pPr>
            <w:r>
              <w:rPr>
                <w:rFonts w:ascii="Calibri" w:hAnsi="Calibri" w:cs="Calibri"/>
                <w:color w:val="000000"/>
                <w:sz w:val="18"/>
                <w:szCs w:val="18"/>
              </w:rPr>
              <w:t>18,7</w:t>
            </w:r>
          </w:p>
        </w:tc>
      </w:tr>
      <w:tr w:rsidR="009F57B5" w:rsidTr="009057F0">
        <w:trPr>
          <w:trHeight w:val="240"/>
        </w:trPr>
        <w:tc>
          <w:tcPr>
            <w:tcW w:w="2600" w:type="dxa"/>
            <w:tcBorders>
              <w:top w:val="nil"/>
              <w:left w:val="nil"/>
              <w:bottom w:val="nil"/>
              <w:right w:val="nil"/>
            </w:tcBorders>
            <w:shd w:val="clear" w:color="000000" w:fill="FFFFFF"/>
            <w:vAlign w:val="center"/>
            <w:hideMark/>
          </w:tcPr>
          <w:p w:rsidR="009F57B5" w:rsidRDefault="009F57B5" w:rsidP="009057F0">
            <w:pPr>
              <w:rPr>
                <w:rFonts w:ascii="Calibri" w:hAnsi="Calibri" w:cs="Calibri"/>
                <w:color w:val="000000"/>
                <w:sz w:val="18"/>
                <w:szCs w:val="18"/>
              </w:rPr>
            </w:pPr>
            <w:r>
              <w:rPr>
                <w:rFonts w:ascii="Calibri" w:hAnsi="Calibri" w:cs="Calibri"/>
                <w:color w:val="000000"/>
                <w:sz w:val="18"/>
                <w:szCs w:val="18"/>
              </w:rPr>
              <w:t>C/I [%]</w:t>
            </w:r>
          </w:p>
        </w:tc>
        <w:tc>
          <w:tcPr>
            <w:tcW w:w="546" w:type="dxa"/>
            <w:tcBorders>
              <w:top w:val="nil"/>
              <w:left w:val="nil"/>
              <w:bottom w:val="nil"/>
              <w:right w:val="nil"/>
            </w:tcBorders>
            <w:shd w:val="clear" w:color="000000" w:fill="FFFFFF"/>
            <w:vAlign w:val="center"/>
          </w:tcPr>
          <w:p w:rsidR="009F57B5" w:rsidRDefault="00122843" w:rsidP="009057F0">
            <w:pPr>
              <w:jc w:val="right"/>
              <w:rPr>
                <w:rFonts w:ascii="Calibri" w:hAnsi="Calibri" w:cs="Calibri"/>
                <w:color w:val="000000"/>
                <w:sz w:val="18"/>
                <w:szCs w:val="18"/>
              </w:rPr>
            </w:pPr>
            <w:r>
              <w:rPr>
                <w:rFonts w:ascii="Calibri" w:hAnsi="Calibri" w:cs="Calibri"/>
                <w:color w:val="000000"/>
                <w:sz w:val="18"/>
                <w:szCs w:val="18"/>
              </w:rPr>
              <w:t>79,2</w:t>
            </w:r>
          </w:p>
        </w:tc>
        <w:tc>
          <w:tcPr>
            <w:tcW w:w="833" w:type="dxa"/>
            <w:tcBorders>
              <w:top w:val="nil"/>
              <w:left w:val="nil"/>
              <w:bottom w:val="nil"/>
              <w:right w:val="nil"/>
            </w:tcBorders>
            <w:shd w:val="clear" w:color="000000" w:fill="FFFFFF"/>
          </w:tcPr>
          <w:p w:rsidR="009F57B5" w:rsidRDefault="00AC45AD" w:rsidP="009057F0">
            <w:pPr>
              <w:jc w:val="right"/>
              <w:rPr>
                <w:rFonts w:ascii="Calibri" w:hAnsi="Calibri" w:cs="Calibri"/>
                <w:color w:val="000000"/>
                <w:sz w:val="18"/>
                <w:szCs w:val="18"/>
              </w:rPr>
            </w:pPr>
            <w:r>
              <w:rPr>
                <w:rFonts w:ascii="Calibri" w:hAnsi="Calibri" w:cs="Calibri"/>
                <w:color w:val="000000"/>
                <w:sz w:val="18"/>
                <w:szCs w:val="18"/>
              </w:rPr>
              <w:t>89,2</w:t>
            </w:r>
          </w:p>
        </w:tc>
      </w:tr>
    </w:tbl>
    <w:p w:rsidR="009F57B5" w:rsidRDefault="009F57B5" w:rsidP="003A5122">
      <w:pPr>
        <w:tabs>
          <w:tab w:val="left" w:pos="6960"/>
        </w:tabs>
        <w:ind w:left="-510"/>
        <w:rPr>
          <w:rFonts w:asciiTheme="minorHAnsi" w:hAnsiTheme="minorHAnsi" w:cs="Arial"/>
          <w:sz w:val="26"/>
          <w:szCs w:val="26"/>
        </w:rPr>
      </w:pPr>
    </w:p>
    <w:p w:rsidR="00F654C7" w:rsidRPr="00F654C7" w:rsidRDefault="00F654C7" w:rsidP="00F654C7">
      <w:pPr>
        <w:tabs>
          <w:tab w:val="left" w:pos="6960"/>
        </w:tabs>
        <w:spacing w:line="276" w:lineRule="auto"/>
        <w:ind w:left="-510"/>
        <w:jc w:val="both"/>
        <w:rPr>
          <w:rFonts w:ascii="Calibri" w:hAnsi="Calibri" w:cs="Arial"/>
          <w:bCs/>
          <w:sz w:val="22"/>
          <w:szCs w:val="22"/>
        </w:rPr>
      </w:pPr>
      <w:r w:rsidRPr="00F654C7">
        <w:rPr>
          <w:rFonts w:ascii="Calibri" w:hAnsi="Calibri" w:cs="Arial"/>
          <w:b/>
          <w:bCs/>
          <w:sz w:val="22"/>
          <w:szCs w:val="22"/>
        </w:rPr>
        <w:t xml:space="preserve">Słabsze wyniki i spodziewana rewizja planu finansowego. </w:t>
      </w:r>
      <w:r w:rsidRPr="00F654C7">
        <w:rPr>
          <w:rFonts w:ascii="Calibri" w:hAnsi="Calibri" w:cs="Arial"/>
          <w:bCs/>
          <w:sz w:val="22"/>
          <w:szCs w:val="22"/>
        </w:rPr>
        <w:t>W 1H’13 wynik na działalności bankowej Kujawskiego Banku Spółdzielczego wyniósł 4,6 mln PLN. Na poziomie netto odnotowano zysk w wysokości 0,6 mln PLN.</w:t>
      </w:r>
    </w:p>
    <w:p w:rsidR="00F654C7" w:rsidRDefault="00F654C7" w:rsidP="003A5122">
      <w:pPr>
        <w:tabs>
          <w:tab w:val="left" w:pos="6960"/>
        </w:tabs>
        <w:ind w:left="-510"/>
        <w:rPr>
          <w:rFonts w:ascii="Calibri" w:hAnsi="Calibri" w:cs="Arial"/>
          <w:bCs/>
          <w:sz w:val="20"/>
          <w:szCs w:val="20"/>
        </w:rPr>
      </w:pPr>
      <w:r>
        <w:rPr>
          <w:rFonts w:ascii="Calibri" w:hAnsi="Calibri" w:cs="Arial"/>
          <w:bCs/>
          <w:noProof/>
          <w:sz w:val="20"/>
          <w:szCs w:val="20"/>
        </w:rPr>
        <w:drawing>
          <wp:anchor distT="0" distB="0" distL="114300" distR="114300" simplePos="0" relativeHeight="251667968" behindDoc="1" locked="0" layoutInCell="1" allowOverlap="1">
            <wp:simplePos x="0" y="0"/>
            <wp:positionH relativeFrom="column">
              <wp:posOffset>3124835</wp:posOffset>
            </wp:positionH>
            <wp:positionV relativeFrom="paragraph">
              <wp:posOffset>109855</wp:posOffset>
            </wp:positionV>
            <wp:extent cx="3420110" cy="2105025"/>
            <wp:effectExtent l="19050" t="0" r="8890" b="0"/>
            <wp:wrapNone/>
            <wp:docPr id="4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cstate="print"/>
                    <a:srcRect/>
                    <a:stretch>
                      <a:fillRect/>
                    </a:stretch>
                  </pic:blipFill>
                  <pic:spPr bwMode="auto">
                    <a:xfrm>
                      <a:off x="0" y="0"/>
                      <a:ext cx="3420110" cy="2105025"/>
                    </a:xfrm>
                    <a:prstGeom prst="rect">
                      <a:avLst/>
                    </a:prstGeom>
                    <a:noFill/>
                    <a:ln w="9525">
                      <a:noFill/>
                      <a:miter lim="800000"/>
                      <a:headEnd/>
                      <a:tailEnd/>
                    </a:ln>
                  </pic:spPr>
                </pic:pic>
              </a:graphicData>
            </a:graphic>
          </wp:anchor>
        </w:drawing>
      </w:r>
    </w:p>
    <w:p w:rsidR="00F654C7" w:rsidRDefault="00F654C7" w:rsidP="003A5122">
      <w:pPr>
        <w:tabs>
          <w:tab w:val="left" w:pos="6960"/>
        </w:tabs>
        <w:ind w:left="-510"/>
        <w:rPr>
          <w:rFonts w:ascii="Calibri" w:hAnsi="Calibri" w:cs="Arial"/>
          <w:bCs/>
          <w:sz w:val="20"/>
          <w:szCs w:val="20"/>
        </w:rPr>
      </w:pPr>
      <w:r>
        <w:rPr>
          <w:noProof/>
          <w:szCs w:val="20"/>
        </w:rPr>
        <w:drawing>
          <wp:anchor distT="0" distB="0" distL="114300" distR="114300" simplePos="0" relativeHeight="251668992" behindDoc="1" locked="0" layoutInCell="1" allowOverlap="1">
            <wp:simplePos x="0" y="0"/>
            <wp:positionH relativeFrom="column">
              <wp:posOffset>-399415</wp:posOffset>
            </wp:positionH>
            <wp:positionV relativeFrom="paragraph">
              <wp:posOffset>2540</wp:posOffset>
            </wp:positionV>
            <wp:extent cx="3564000" cy="1885714"/>
            <wp:effectExtent l="19050" t="0" r="0" b="0"/>
            <wp:wrapNone/>
            <wp:docPr id="40"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cstate="print"/>
                    <a:srcRect/>
                    <a:stretch>
                      <a:fillRect/>
                    </a:stretch>
                  </pic:blipFill>
                  <pic:spPr bwMode="auto">
                    <a:xfrm>
                      <a:off x="0" y="0"/>
                      <a:ext cx="3564000" cy="1885714"/>
                    </a:xfrm>
                    <a:prstGeom prst="rect">
                      <a:avLst/>
                    </a:prstGeom>
                    <a:noFill/>
                    <a:ln w="9525">
                      <a:noFill/>
                      <a:miter lim="800000"/>
                      <a:headEnd/>
                      <a:tailEnd/>
                    </a:ln>
                  </pic:spPr>
                </pic:pic>
              </a:graphicData>
            </a:graphic>
          </wp:anchor>
        </w:drawing>
      </w:r>
    </w:p>
    <w:p w:rsidR="00F654C7" w:rsidRDefault="00F654C7" w:rsidP="003A5122">
      <w:pPr>
        <w:tabs>
          <w:tab w:val="left" w:pos="6960"/>
        </w:tabs>
        <w:ind w:left="-510"/>
        <w:rPr>
          <w:rFonts w:ascii="Calibri" w:hAnsi="Calibri" w:cs="Arial"/>
          <w:bCs/>
          <w:sz w:val="20"/>
          <w:szCs w:val="20"/>
        </w:rPr>
      </w:pPr>
    </w:p>
    <w:p w:rsidR="00F654C7" w:rsidRDefault="00F654C7" w:rsidP="003A5122">
      <w:pPr>
        <w:tabs>
          <w:tab w:val="left" w:pos="6960"/>
        </w:tabs>
        <w:ind w:left="-510"/>
        <w:rPr>
          <w:rFonts w:asciiTheme="minorHAnsi" w:hAnsiTheme="minorHAnsi" w:cs="Arial"/>
          <w:sz w:val="26"/>
          <w:szCs w:val="26"/>
        </w:rPr>
      </w:pPr>
    </w:p>
    <w:p w:rsidR="00F654C7" w:rsidRDefault="00F654C7" w:rsidP="003A5122">
      <w:pPr>
        <w:tabs>
          <w:tab w:val="left" w:pos="6960"/>
        </w:tabs>
        <w:ind w:left="-510"/>
        <w:rPr>
          <w:rFonts w:asciiTheme="minorHAnsi" w:hAnsiTheme="minorHAnsi" w:cs="Arial"/>
          <w:sz w:val="26"/>
          <w:szCs w:val="26"/>
        </w:rPr>
      </w:pPr>
    </w:p>
    <w:p w:rsidR="003A5122" w:rsidRDefault="003A5122" w:rsidP="00283CA5">
      <w:pPr>
        <w:tabs>
          <w:tab w:val="left" w:pos="6960"/>
        </w:tabs>
        <w:ind w:left="-510"/>
        <w:rPr>
          <w:rFonts w:asciiTheme="minorHAnsi" w:hAnsiTheme="minorHAnsi" w:cs="Arial"/>
          <w:sz w:val="20"/>
          <w:szCs w:val="20"/>
        </w:rPr>
      </w:pPr>
    </w:p>
    <w:p w:rsidR="003A5122" w:rsidRDefault="003A5122" w:rsidP="00283CA5">
      <w:pPr>
        <w:tabs>
          <w:tab w:val="left" w:pos="6960"/>
        </w:tabs>
        <w:ind w:left="-510"/>
        <w:rPr>
          <w:rFonts w:asciiTheme="minorHAnsi" w:hAnsiTheme="minorHAnsi" w:cs="Arial"/>
          <w:sz w:val="20"/>
          <w:szCs w:val="20"/>
        </w:rPr>
      </w:pPr>
    </w:p>
    <w:p w:rsidR="003A5122" w:rsidRDefault="003A5122" w:rsidP="00283CA5">
      <w:pPr>
        <w:tabs>
          <w:tab w:val="left" w:pos="6960"/>
        </w:tabs>
        <w:ind w:left="-510"/>
        <w:rPr>
          <w:rFonts w:asciiTheme="minorHAnsi" w:hAnsiTheme="minorHAnsi" w:cs="Arial"/>
          <w:sz w:val="20"/>
          <w:szCs w:val="20"/>
        </w:rPr>
      </w:pPr>
    </w:p>
    <w:p w:rsidR="00F654C7" w:rsidRDefault="00F654C7" w:rsidP="00283CA5">
      <w:pPr>
        <w:tabs>
          <w:tab w:val="left" w:pos="6960"/>
        </w:tabs>
        <w:ind w:left="-510"/>
        <w:rPr>
          <w:rFonts w:asciiTheme="minorHAnsi" w:hAnsiTheme="minorHAnsi" w:cs="Arial"/>
          <w:sz w:val="20"/>
          <w:szCs w:val="20"/>
        </w:rPr>
      </w:pPr>
    </w:p>
    <w:p w:rsidR="00F654C7" w:rsidRDefault="00F654C7" w:rsidP="00283CA5">
      <w:pPr>
        <w:tabs>
          <w:tab w:val="left" w:pos="6960"/>
        </w:tabs>
        <w:ind w:left="-510"/>
        <w:rPr>
          <w:rFonts w:asciiTheme="minorHAnsi" w:hAnsiTheme="minorHAnsi" w:cs="Arial"/>
          <w:sz w:val="20"/>
          <w:szCs w:val="20"/>
        </w:rPr>
      </w:pPr>
    </w:p>
    <w:p w:rsidR="00F654C7" w:rsidRDefault="00F654C7" w:rsidP="00283CA5">
      <w:pPr>
        <w:tabs>
          <w:tab w:val="left" w:pos="6960"/>
        </w:tabs>
        <w:ind w:left="-510"/>
        <w:rPr>
          <w:rFonts w:asciiTheme="minorHAnsi" w:hAnsiTheme="minorHAnsi" w:cs="Arial"/>
          <w:sz w:val="20"/>
          <w:szCs w:val="20"/>
        </w:rPr>
      </w:pPr>
    </w:p>
    <w:p w:rsidR="00F654C7" w:rsidRDefault="00F654C7" w:rsidP="00283CA5">
      <w:pPr>
        <w:tabs>
          <w:tab w:val="left" w:pos="6960"/>
        </w:tabs>
        <w:ind w:left="-510"/>
        <w:rPr>
          <w:rFonts w:asciiTheme="minorHAnsi" w:hAnsiTheme="minorHAnsi" w:cs="Arial"/>
          <w:sz w:val="20"/>
          <w:szCs w:val="20"/>
        </w:rPr>
      </w:pPr>
    </w:p>
    <w:p w:rsidR="00F654C7" w:rsidRDefault="00F654C7" w:rsidP="00283CA5">
      <w:pPr>
        <w:tabs>
          <w:tab w:val="left" w:pos="6960"/>
        </w:tabs>
        <w:ind w:left="-510"/>
        <w:rPr>
          <w:rFonts w:asciiTheme="minorHAnsi" w:hAnsiTheme="minorHAnsi" w:cs="Arial"/>
          <w:sz w:val="20"/>
          <w:szCs w:val="20"/>
        </w:rPr>
      </w:pPr>
    </w:p>
    <w:p w:rsidR="00F654C7" w:rsidRDefault="00F654C7" w:rsidP="00283CA5">
      <w:pPr>
        <w:tabs>
          <w:tab w:val="left" w:pos="6960"/>
        </w:tabs>
        <w:ind w:left="-510"/>
        <w:rPr>
          <w:rFonts w:asciiTheme="minorHAnsi" w:hAnsiTheme="minorHAnsi" w:cs="Arial"/>
          <w:sz w:val="20"/>
          <w:szCs w:val="20"/>
        </w:rPr>
      </w:pPr>
    </w:p>
    <w:p w:rsidR="00366A2D" w:rsidRPr="00F654C7" w:rsidRDefault="00366A2D" w:rsidP="00366A2D">
      <w:pPr>
        <w:numPr>
          <w:ilvl w:val="0"/>
          <w:numId w:val="35"/>
        </w:numPr>
        <w:spacing w:line="276" w:lineRule="auto"/>
        <w:ind w:left="-567" w:firstLine="0"/>
        <w:jc w:val="both"/>
        <w:rPr>
          <w:rFonts w:ascii="Calibri" w:hAnsi="Calibri" w:cs="Arial"/>
          <w:bCs/>
          <w:sz w:val="22"/>
          <w:szCs w:val="22"/>
        </w:rPr>
      </w:pPr>
      <w:r w:rsidRPr="00F654C7">
        <w:rPr>
          <w:rFonts w:ascii="Calibri" w:hAnsi="Calibri" w:cs="Arial"/>
          <w:b/>
          <w:bCs/>
          <w:sz w:val="22"/>
          <w:szCs w:val="22"/>
        </w:rPr>
        <w:t>Spadek przychodów odsetkowych</w:t>
      </w:r>
      <w:r w:rsidRPr="00F654C7">
        <w:rPr>
          <w:rFonts w:ascii="Calibri" w:hAnsi="Calibri" w:cs="Arial"/>
          <w:bCs/>
          <w:sz w:val="22"/>
          <w:szCs w:val="22"/>
        </w:rPr>
        <w:t xml:space="preserve"> jest wynikiem spadku stóp procentowych oraz wysokiego udziału w portfelu kredytów preferencyjnych (44,5% portfela). Choć jednocześnie nastąpił spadek kosztów odsetkowych to wynik odsetkowy obniżył się o 0,57 mln PLN, a marża odsetkowa netto spadła w 1H’13 o 0,7 pp. do 4,9%;</w:t>
      </w:r>
    </w:p>
    <w:p w:rsidR="00366A2D" w:rsidRPr="00F654C7" w:rsidRDefault="00366A2D" w:rsidP="00366A2D">
      <w:pPr>
        <w:numPr>
          <w:ilvl w:val="0"/>
          <w:numId w:val="35"/>
        </w:numPr>
        <w:spacing w:line="276" w:lineRule="auto"/>
        <w:ind w:left="-567" w:firstLine="0"/>
        <w:jc w:val="both"/>
        <w:rPr>
          <w:rFonts w:ascii="Calibri" w:hAnsi="Calibri" w:cs="Arial"/>
          <w:bCs/>
          <w:sz w:val="22"/>
          <w:szCs w:val="22"/>
        </w:rPr>
      </w:pPr>
      <w:r w:rsidRPr="00F654C7">
        <w:rPr>
          <w:rFonts w:ascii="Calibri" w:hAnsi="Calibri" w:cs="Arial"/>
          <w:bCs/>
          <w:sz w:val="22"/>
          <w:szCs w:val="22"/>
        </w:rPr>
        <w:t xml:space="preserve">Mimo </w:t>
      </w:r>
      <w:r w:rsidRPr="00F654C7">
        <w:rPr>
          <w:rFonts w:ascii="Calibri" w:hAnsi="Calibri" w:cs="Arial"/>
          <w:b/>
          <w:bCs/>
          <w:sz w:val="22"/>
          <w:szCs w:val="22"/>
        </w:rPr>
        <w:t>wzrostu portfela kredytowego</w:t>
      </w:r>
      <w:r w:rsidRPr="00F654C7">
        <w:rPr>
          <w:rFonts w:ascii="Calibri" w:hAnsi="Calibri" w:cs="Arial"/>
          <w:bCs/>
          <w:sz w:val="22"/>
          <w:szCs w:val="22"/>
        </w:rPr>
        <w:t xml:space="preserve"> (4,6% licząc od początku roku do 134,8 mln PLN) wynik odsetkowy obniżył się o 0,57 mln PLN, co było główną przyczyną słabszego wyniku na działalności bankowej. </w:t>
      </w:r>
      <w:r w:rsidRPr="00F654C7">
        <w:rPr>
          <w:rFonts w:ascii="Calibri" w:hAnsi="Calibri" w:cs="Arial"/>
          <w:b/>
          <w:bCs/>
          <w:sz w:val="22"/>
          <w:szCs w:val="22"/>
        </w:rPr>
        <w:t>Baza depozytowa była stabilna</w:t>
      </w:r>
      <w:r w:rsidRPr="00F654C7">
        <w:rPr>
          <w:rFonts w:ascii="Calibri" w:hAnsi="Calibri" w:cs="Arial"/>
          <w:bCs/>
          <w:sz w:val="22"/>
          <w:szCs w:val="22"/>
        </w:rPr>
        <w:t>, a relacja kredytów do depozytów wynosi 93,3%;</w:t>
      </w:r>
    </w:p>
    <w:p w:rsidR="00366A2D" w:rsidRPr="00F654C7" w:rsidRDefault="00366A2D" w:rsidP="00366A2D">
      <w:pPr>
        <w:numPr>
          <w:ilvl w:val="0"/>
          <w:numId w:val="35"/>
        </w:numPr>
        <w:spacing w:line="276" w:lineRule="auto"/>
        <w:ind w:left="-567" w:firstLine="0"/>
        <w:jc w:val="both"/>
        <w:rPr>
          <w:rFonts w:ascii="Calibri" w:hAnsi="Calibri" w:cs="Arial"/>
          <w:bCs/>
          <w:sz w:val="22"/>
          <w:szCs w:val="22"/>
        </w:rPr>
      </w:pPr>
      <w:r w:rsidRPr="00F654C7">
        <w:rPr>
          <w:rFonts w:ascii="Calibri" w:hAnsi="Calibri" w:cs="Arial"/>
          <w:bCs/>
          <w:sz w:val="22"/>
          <w:szCs w:val="22"/>
        </w:rPr>
        <w:t xml:space="preserve">Niższe dochody w warunkach niewielkiego wzrostu kosztów spowodowały, że </w:t>
      </w:r>
      <w:r w:rsidRPr="00F654C7">
        <w:rPr>
          <w:rFonts w:ascii="Calibri" w:hAnsi="Calibri" w:cs="Arial"/>
          <w:b/>
          <w:bCs/>
          <w:sz w:val="22"/>
          <w:szCs w:val="22"/>
        </w:rPr>
        <w:t>efektywność kosztowa banku pogorszyła się</w:t>
      </w:r>
      <w:r w:rsidRPr="00F654C7">
        <w:rPr>
          <w:rFonts w:ascii="Calibri" w:hAnsi="Calibri" w:cs="Arial"/>
          <w:bCs/>
          <w:sz w:val="22"/>
          <w:szCs w:val="22"/>
        </w:rPr>
        <w:t>, a relacja kosztów do dochodów wzrosła o blisko 13 pp. do 89,2%;</w:t>
      </w:r>
    </w:p>
    <w:p w:rsidR="00366A2D" w:rsidRPr="00F654C7" w:rsidRDefault="00366A2D" w:rsidP="00366A2D">
      <w:pPr>
        <w:numPr>
          <w:ilvl w:val="0"/>
          <w:numId w:val="35"/>
        </w:numPr>
        <w:spacing w:line="276" w:lineRule="auto"/>
        <w:ind w:left="-567" w:firstLine="0"/>
        <w:jc w:val="both"/>
        <w:rPr>
          <w:rFonts w:ascii="Calibri" w:hAnsi="Calibri" w:cs="Arial"/>
          <w:bCs/>
          <w:sz w:val="22"/>
          <w:szCs w:val="22"/>
        </w:rPr>
      </w:pPr>
      <w:r w:rsidRPr="00F654C7">
        <w:rPr>
          <w:rFonts w:ascii="Calibri" w:hAnsi="Calibri" w:cs="Arial"/>
          <w:bCs/>
          <w:sz w:val="22"/>
          <w:szCs w:val="22"/>
        </w:rPr>
        <w:t>Ujemne saldo rezerw stanowiło lekkie wsparcie dla wyniku netto banku;</w:t>
      </w:r>
    </w:p>
    <w:p w:rsidR="00366A2D" w:rsidRPr="00F654C7" w:rsidRDefault="00366A2D" w:rsidP="00366A2D">
      <w:pPr>
        <w:numPr>
          <w:ilvl w:val="0"/>
          <w:numId w:val="35"/>
        </w:numPr>
        <w:spacing w:line="276" w:lineRule="auto"/>
        <w:ind w:left="-567" w:firstLine="0"/>
        <w:jc w:val="both"/>
        <w:rPr>
          <w:rFonts w:ascii="Calibri" w:hAnsi="Calibri" w:cs="Arial"/>
          <w:bCs/>
          <w:sz w:val="22"/>
          <w:szCs w:val="22"/>
        </w:rPr>
      </w:pPr>
      <w:r w:rsidRPr="00F654C7">
        <w:rPr>
          <w:rFonts w:ascii="Calibri" w:hAnsi="Calibri" w:cs="Arial"/>
          <w:b/>
          <w:bCs/>
          <w:sz w:val="22"/>
          <w:szCs w:val="22"/>
        </w:rPr>
        <w:t>Jakość portfela kredytowego jest bardzo wysoka</w:t>
      </w:r>
      <w:r w:rsidRPr="00F654C7">
        <w:rPr>
          <w:rFonts w:ascii="Calibri" w:hAnsi="Calibri" w:cs="Arial"/>
          <w:bCs/>
          <w:sz w:val="22"/>
          <w:szCs w:val="22"/>
        </w:rPr>
        <w:t>, co widać w udziale kredytów zagrożonych w strukturze kredytów na poziomie 0,65%;</w:t>
      </w:r>
    </w:p>
    <w:p w:rsidR="00366A2D" w:rsidRPr="00F654C7" w:rsidRDefault="00366A2D" w:rsidP="00366A2D">
      <w:pPr>
        <w:numPr>
          <w:ilvl w:val="0"/>
          <w:numId w:val="35"/>
        </w:numPr>
        <w:spacing w:line="276" w:lineRule="auto"/>
        <w:ind w:left="-567" w:firstLine="0"/>
        <w:jc w:val="both"/>
        <w:rPr>
          <w:rFonts w:ascii="Calibri" w:hAnsi="Calibri" w:cs="Arial"/>
          <w:bCs/>
          <w:sz w:val="22"/>
          <w:szCs w:val="22"/>
        </w:rPr>
      </w:pPr>
      <w:r w:rsidRPr="00F654C7">
        <w:rPr>
          <w:rFonts w:ascii="Calibri" w:hAnsi="Calibri" w:cs="Arial"/>
          <w:b/>
          <w:bCs/>
          <w:sz w:val="22"/>
          <w:szCs w:val="22"/>
        </w:rPr>
        <w:t>Normy płynności są spełnione</w:t>
      </w:r>
      <w:r w:rsidRPr="00F654C7">
        <w:rPr>
          <w:rFonts w:ascii="Calibri" w:hAnsi="Calibri" w:cs="Arial"/>
          <w:bCs/>
          <w:sz w:val="22"/>
          <w:szCs w:val="22"/>
        </w:rPr>
        <w:t>. Współczynnik udziału podstawowej i uzupełniającej rezerwy płynności w aktywach ogółem wyniósł 0,28 (min. 0,20), a współczynnik pokrycia aktywów niepłynnych funduszami własnymi wyniósł 3,49 (min. 1,00);</w:t>
      </w:r>
    </w:p>
    <w:p w:rsidR="00366A2D" w:rsidRPr="00F654C7" w:rsidRDefault="00366A2D" w:rsidP="00366A2D">
      <w:pPr>
        <w:numPr>
          <w:ilvl w:val="0"/>
          <w:numId w:val="35"/>
        </w:numPr>
        <w:spacing w:line="276" w:lineRule="auto"/>
        <w:ind w:left="-567" w:firstLine="0"/>
        <w:jc w:val="both"/>
        <w:rPr>
          <w:rFonts w:ascii="Calibri" w:hAnsi="Calibri" w:cs="Arial"/>
          <w:bCs/>
          <w:sz w:val="22"/>
          <w:szCs w:val="22"/>
        </w:rPr>
      </w:pPr>
      <w:r w:rsidRPr="00F654C7">
        <w:rPr>
          <w:rFonts w:ascii="Calibri" w:hAnsi="Calibri" w:cs="Arial"/>
          <w:b/>
          <w:bCs/>
          <w:sz w:val="22"/>
          <w:szCs w:val="22"/>
        </w:rPr>
        <w:t>Silna baza kapitałowa</w:t>
      </w:r>
      <w:r w:rsidRPr="00F654C7">
        <w:rPr>
          <w:rFonts w:ascii="Calibri" w:hAnsi="Calibri" w:cs="Arial"/>
          <w:bCs/>
          <w:sz w:val="22"/>
          <w:szCs w:val="22"/>
        </w:rPr>
        <w:t>. Współczynnik wypłacalności wynosi 18,73%.</w:t>
      </w:r>
    </w:p>
    <w:p w:rsidR="00366A2D" w:rsidRPr="00F654C7" w:rsidRDefault="00366A2D" w:rsidP="00366A2D">
      <w:pPr>
        <w:pStyle w:val="Akapitzlist"/>
        <w:numPr>
          <w:ilvl w:val="0"/>
          <w:numId w:val="35"/>
        </w:numPr>
        <w:tabs>
          <w:tab w:val="left" w:pos="-142"/>
        </w:tabs>
        <w:ind w:left="-567" w:firstLine="0"/>
        <w:jc w:val="both"/>
        <w:rPr>
          <w:rFonts w:cs="Arial"/>
          <w:sz w:val="20"/>
          <w:szCs w:val="20"/>
        </w:rPr>
      </w:pPr>
      <w:r w:rsidRPr="00F654C7">
        <w:rPr>
          <w:rFonts w:cs="Arial"/>
          <w:bCs/>
        </w:rPr>
        <w:t xml:space="preserve">W porównaniu do planu banku na 1H’13 dochody okazały się niższe o blisko 0,5 mln PLN, co przy zgodnych z planem kosztach spowodowało, że wynik finansowy netto jest gorszy od planu o 0,3 mln PLN, tj. 42%. </w:t>
      </w:r>
      <w:r w:rsidRPr="00F654C7">
        <w:rPr>
          <w:rFonts w:cs="Arial"/>
          <w:b/>
          <w:bCs/>
        </w:rPr>
        <w:t xml:space="preserve">Bank planuje zrewidować plan finansowy </w:t>
      </w:r>
      <w:r w:rsidRPr="00F654C7">
        <w:rPr>
          <w:rFonts w:cs="Arial"/>
          <w:bCs/>
        </w:rPr>
        <w:t>w 3Q’13.</w:t>
      </w:r>
    </w:p>
    <w:p w:rsidR="00366A2D" w:rsidRDefault="00366A2D" w:rsidP="00283CA5">
      <w:pPr>
        <w:tabs>
          <w:tab w:val="left" w:pos="6960"/>
        </w:tabs>
        <w:ind w:left="-510"/>
        <w:rPr>
          <w:rFonts w:asciiTheme="minorHAnsi" w:hAnsiTheme="minorHAnsi" w:cs="Arial"/>
          <w:sz w:val="20"/>
          <w:szCs w:val="20"/>
        </w:rPr>
      </w:pPr>
    </w:p>
    <w:p w:rsidR="003A5122" w:rsidRDefault="003A5122" w:rsidP="00283CA5">
      <w:pPr>
        <w:tabs>
          <w:tab w:val="left" w:pos="6960"/>
        </w:tabs>
        <w:ind w:left="-510"/>
        <w:rPr>
          <w:rFonts w:asciiTheme="minorHAnsi" w:hAnsiTheme="minorHAnsi" w:cs="Arial"/>
          <w:sz w:val="20"/>
          <w:szCs w:val="20"/>
        </w:rPr>
      </w:pPr>
    </w:p>
    <w:p w:rsidR="003A5122" w:rsidRDefault="003A5122" w:rsidP="00283CA5">
      <w:pPr>
        <w:tabs>
          <w:tab w:val="left" w:pos="6960"/>
        </w:tabs>
        <w:ind w:left="-510"/>
        <w:rPr>
          <w:rFonts w:asciiTheme="minorHAnsi" w:hAnsiTheme="minorHAnsi" w:cs="Arial"/>
          <w:sz w:val="20"/>
          <w:szCs w:val="20"/>
        </w:rPr>
      </w:pPr>
    </w:p>
    <w:p w:rsidR="00E15379" w:rsidRDefault="00E15379">
      <w:pPr>
        <w:rPr>
          <w:rFonts w:asciiTheme="minorHAnsi" w:hAnsiTheme="minorHAnsi" w:cs="Arial"/>
          <w:sz w:val="20"/>
          <w:szCs w:val="20"/>
        </w:rPr>
      </w:pPr>
      <w:r>
        <w:rPr>
          <w:rFonts w:asciiTheme="minorHAnsi" w:hAnsiTheme="minorHAnsi" w:cs="Arial"/>
          <w:sz w:val="20"/>
          <w:szCs w:val="20"/>
        </w:rPr>
        <w:br w:type="page"/>
      </w:r>
    </w:p>
    <w:p w:rsidR="00A47ADB" w:rsidRPr="00FA16DE" w:rsidRDefault="00A47ADB" w:rsidP="00283CA5">
      <w:pPr>
        <w:tabs>
          <w:tab w:val="left" w:pos="6960"/>
        </w:tabs>
        <w:ind w:left="-510"/>
        <w:rPr>
          <w:rFonts w:ascii="Calibri" w:hAnsi="Calibri" w:cs="Calibri"/>
          <w:color w:val="1EAA82"/>
          <w:sz w:val="20"/>
          <w:szCs w:val="20"/>
        </w:rPr>
      </w:pPr>
      <w:r w:rsidRPr="00FA16DE">
        <w:rPr>
          <w:rFonts w:ascii="Calibri" w:hAnsi="Calibri" w:cs="Calibri"/>
          <w:color w:val="1EAA82"/>
          <w:sz w:val="20"/>
          <w:szCs w:val="20"/>
        </w:rPr>
        <w:lastRenderedPageBreak/>
        <w:t>Dom Maklerski Banku BPS SA</w:t>
      </w:r>
    </w:p>
    <w:p w:rsidR="00A47ADB" w:rsidRPr="00FA16DE" w:rsidRDefault="00A47ADB" w:rsidP="00283CA5">
      <w:pPr>
        <w:tabs>
          <w:tab w:val="left" w:pos="6960"/>
        </w:tabs>
        <w:ind w:left="-510"/>
        <w:rPr>
          <w:rFonts w:ascii="Calibri" w:hAnsi="Calibri" w:cs="Calibri"/>
          <w:color w:val="1EAA82"/>
          <w:sz w:val="20"/>
          <w:szCs w:val="20"/>
        </w:rPr>
      </w:pPr>
      <w:r w:rsidRPr="00FA16DE">
        <w:rPr>
          <w:rFonts w:ascii="Calibri" w:hAnsi="Calibri" w:cs="Calibri"/>
          <w:color w:val="1EAA82"/>
          <w:sz w:val="20"/>
          <w:szCs w:val="20"/>
        </w:rPr>
        <w:t xml:space="preserve"> ul. Płocka 11/13 01-231 Warszawa, </w:t>
      </w:r>
    </w:p>
    <w:p w:rsidR="00A47ADB" w:rsidRPr="0008270E" w:rsidRDefault="00A47ADB" w:rsidP="00283CA5">
      <w:pPr>
        <w:tabs>
          <w:tab w:val="left" w:pos="6960"/>
        </w:tabs>
        <w:ind w:left="-510"/>
        <w:rPr>
          <w:rFonts w:ascii="Calibri" w:hAnsi="Calibri" w:cs="Calibri"/>
          <w:color w:val="1EAA82"/>
          <w:sz w:val="20"/>
          <w:szCs w:val="20"/>
          <w:lang w:val="en-US"/>
        </w:rPr>
      </w:pPr>
      <w:r w:rsidRPr="00FA16DE">
        <w:rPr>
          <w:rFonts w:ascii="Calibri" w:hAnsi="Calibri" w:cs="Calibri"/>
          <w:color w:val="1EAA82"/>
          <w:sz w:val="20"/>
          <w:szCs w:val="20"/>
        </w:rPr>
        <w:t xml:space="preserve"> </w:t>
      </w:r>
      <w:r w:rsidRPr="0008270E">
        <w:rPr>
          <w:rFonts w:ascii="Calibri" w:hAnsi="Calibri" w:cs="Calibri"/>
          <w:color w:val="1EAA82"/>
          <w:sz w:val="20"/>
          <w:szCs w:val="20"/>
          <w:lang w:val="en-US"/>
        </w:rPr>
        <w:t xml:space="preserve">tel.: +48 22 53 95 555, fax.: +48 22 53 95 556 </w:t>
      </w:r>
    </w:p>
    <w:p w:rsidR="00A47ADB" w:rsidRPr="0008270E" w:rsidRDefault="00A47ADB" w:rsidP="00283CA5">
      <w:pPr>
        <w:tabs>
          <w:tab w:val="left" w:pos="6960"/>
        </w:tabs>
        <w:ind w:left="-510"/>
        <w:rPr>
          <w:rFonts w:ascii="Calibri" w:hAnsi="Calibri" w:cs="Calibri"/>
          <w:color w:val="1EAA82"/>
          <w:sz w:val="20"/>
          <w:szCs w:val="20"/>
          <w:lang w:val="en-US"/>
        </w:rPr>
      </w:pPr>
      <w:r w:rsidRPr="0008270E">
        <w:rPr>
          <w:rFonts w:ascii="Calibri" w:hAnsi="Calibri" w:cs="Calibri"/>
          <w:lang w:val="en-US"/>
        </w:rPr>
        <w:t xml:space="preserve"> </w:t>
      </w:r>
      <w:hyperlink r:id="rId51" w:history="1">
        <w:r w:rsidRPr="0008270E">
          <w:rPr>
            <w:rStyle w:val="Hipercze"/>
            <w:rFonts w:ascii="Calibri" w:hAnsi="Calibri" w:cs="Calibri"/>
            <w:color w:val="1EAA82"/>
            <w:sz w:val="20"/>
            <w:szCs w:val="20"/>
            <w:lang w:val="en-US"/>
          </w:rPr>
          <w:t>www.dmbps.pl</w:t>
        </w:r>
      </w:hyperlink>
    </w:p>
    <w:p w:rsidR="00A47ADB" w:rsidRPr="0008270E" w:rsidRDefault="00A47ADB" w:rsidP="00283CA5">
      <w:pPr>
        <w:tabs>
          <w:tab w:val="left" w:pos="6960"/>
        </w:tabs>
        <w:ind w:left="-510"/>
        <w:rPr>
          <w:rFonts w:ascii="Calibri" w:hAnsi="Calibri" w:cs="Calibri"/>
          <w:color w:val="1EAA82"/>
          <w:sz w:val="20"/>
          <w:szCs w:val="20"/>
          <w:lang w:val="en-US"/>
        </w:rPr>
      </w:pPr>
      <w:r w:rsidRPr="0008270E">
        <w:rPr>
          <w:rFonts w:ascii="Calibri" w:hAnsi="Calibri" w:cs="Calibri"/>
          <w:color w:val="1EAA82"/>
          <w:sz w:val="20"/>
          <w:szCs w:val="20"/>
          <w:lang w:val="en-US"/>
        </w:rPr>
        <w:t xml:space="preserve"> dm</w:t>
      </w:r>
      <w:hyperlink r:id="rId52" w:history="1">
        <w:r w:rsidRPr="0008270E">
          <w:rPr>
            <w:rFonts w:ascii="Calibri" w:hAnsi="Calibri" w:cs="Calibri"/>
            <w:color w:val="1EAA82"/>
            <w:sz w:val="20"/>
            <w:szCs w:val="20"/>
            <w:lang w:val="en-US"/>
          </w:rPr>
          <w:t>@dmbps.pl</w:t>
        </w:r>
      </w:hyperlink>
    </w:p>
    <w:p w:rsidR="00A47ADB" w:rsidRPr="0008270E" w:rsidRDefault="00A47ADB" w:rsidP="00A47ADB">
      <w:pPr>
        <w:tabs>
          <w:tab w:val="left" w:pos="6960"/>
        </w:tabs>
        <w:ind w:left="-360"/>
        <w:rPr>
          <w:rFonts w:ascii="Calibri" w:hAnsi="Calibri" w:cs="Calibri"/>
          <w:b/>
          <w:color w:val="1EAA82"/>
          <w:sz w:val="2"/>
          <w:szCs w:val="2"/>
          <w:highlight w:val="yellow"/>
          <w:lang w:val="en-US"/>
        </w:rPr>
      </w:pPr>
    </w:p>
    <w:tbl>
      <w:tblPr>
        <w:tblW w:w="10980" w:type="dxa"/>
        <w:tblInd w:w="-497" w:type="dxa"/>
        <w:tblCellMar>
          <w:left w:w="70" w:type="dxa"/>
          <w:right w:w="70" w:type="dxa"/>
        </w:tblCellMar>
        <w:tblLook w:val="0000"/>
      </w:tblPr>
      <w:tblGrid>
        <w:gridCol w:w="5580"/>
        <w:gridCol w:w="5400"/>
      </w:tblGrid>
      <w:tr w:rsidR="00283CA5" w:rsidRPr="00FA16DE" w:rsidTr="00283CA5">
        <w:trPr>
          <w:trHeight w:val="3333"/>
        </w:trPr>
        <w:tc>
          <w:tcPr>
            <w:tcW w:w="5580" w:type="dxa"/>
          </w:tcPr>
          <w:p w:rsidR="00283CA5" w:rsidRPr="000E1856" w:rsidRDefault="00283CA5" w:rsidP="00BE7B5F">
            <w:pPr>
              <w:widowControl w:val="0"/>
              <w:rPr>
                <w:rFonts w:ascii="Calibri" w:hAnsi="Calibri" w:cs="Calibri"/>
                <w:color w:val="1EAA82"/>
                <w:sz w:val="12"/>
                <w:szCs w:val="12"/>
                <w:lang w:val="en-US"/>
              </w:rPr>
            </w:pPr>
          </w:p>
          <w:p w:rsidR="00283CA5" w:rsidRPr="00FA16DE" w:rsidRDefault="00283CA5" w:rsidP="00BE7B5F">
            <w:pPr>
              <w:widowControl w:val="0"/>
              <w:rPr>
                <w:rFonts w:ascii="Calibri" w:hAnsi="Calibri" w:cs="Calibri"/>
              </w:rPr>
            </w:pPr>
            <w:r w:rsidRPr="00FA16DE">
              <w:rPr>
                <w:rFonts w:ascii="Calibri" w:hAnsi="Calibri" w:cs="Calibri"/>
                <w:color w:val="1EAA82"/>
              </w:rPr>
              <w:t>Biuro Analiz i Doradztwa Inwestycyjnego:</w:t>
            </w:r>
          </w:p>
          <w:p w:rsidR="00283CA5" w:rsidRPr="00FA16DE" w:rsidRDefault="00283CA5" w:rsidP="00BE7B5F">
            <w:pPr>
              <w:widowControl w:val="0"/>
              <w:rPr>
                <w:rFonts w:ascii="Calibri" w:hAnsi="Calibri" w:cs="Calibri"/>
                <w:sz w:val="2"/>
                <w:szCs w:val="2"/>
              </w:rPr>
            </w:pPr>
          </w:p>
          <w:p w:rsidR="00283CA5" w:rsidRDefault="00283CA5" w:rsidP="00BE7B5F">
            <w:pPr>
              <w:widowControl w:val="0"/>
              <w:rPr>
                <w:rFonts w:ascii="Calibri" w:hAnsi="Calibri" w:cs="Calibri"/>
                <w:color w:val="1EAA82"/>
                <w:sz w:val="20"/>
                <w:szCs w:val="20"/>
              </w:rPr>
            </w:pPr>
            <w:r w:rsidRPr="00FA16DE">
              <w:rPr>
                <w:rFonts w:ascii="Calibri" w:hAnsi="Calibri" w:cs="Calibri"/>
                <w:b/>
                <w:bCs/>
                <w:color w:val="1EAA82"/>
                <w:sz w:val="20"/>
                <w:szCs w:val="20"/>
              </w:rPr>
              <w:t>Marcin Stebakow</w:t>
            </w:r>
            <w:r w:rsidRPr="00FA16DE">
              <w:rPr>
                <w:rFonts w:ascii="Calibri" w:hAnsi="Calibri" w:cs="Calibri"/>
                <w:color w:val="1EAA82"/>
                <w:sz w:val="20"/>
                <w:szCs w:val="20"/>
              </w:rPr>
              <w:t>,</w:t>
            </w:r>
            <w:r w:rsidRPr="00FA16DE">
              <w:rPr>
                <w:rFonts w:ascii="Calibri" w:hAnsi="Calibri" w:cs="Calibri"/>
                <w:b/>
                <w:bCs/>
                <w:color w:val="1EAA82"/>
                <w:sz w:val="20"/>
                <w:szCs w:val="20"/>
              </w:rPr>
              <w:t xml:space="preserve"> </w:t>
            </w:r>
            <w:r w:rsidRPr="00FA16DE">
              <w:rPr>
                <w:rFonts w:ascii="Calibri" w:hAnsi="Calibri" w:cs="Calibri"/>
                <w:bCs/>
                <w:color w:val="1EAA82"/>
                <w:sz w:val="20"/>
                <w:szCs w:val="20"/>
              </w:rPr>
              <w:t>MPW</w:t>
            </w:r>
            <w:r w:rsidRPr="00FA16DE">
              <w:rPr>
                <w:rFonts w:ascii="Calibri" w:hAnsi="Calibri" w:cs="Calibri"/>
                <w:b/>
                <w:bCs/>
                <w:color w:val="1EAA82"/>
                <w:sz w:val="20"/>
                <w:szCs w:val="20"/>
              </w:rPr>
              <w:t xml:space="preserve"> </w:t>
            </w:r>
            <w:r w:rsidRPr="00FA16DE">
              <w:rPr>
                <w:rFonts w:ascii="Calibri" w:hAnsi="Calibri" w:cs="Calibri"/>
                <w:color w:val="1EAA82"/>
                <w:sz w:val="20"/>
                <w:szCs w:val="20"/>
              </w:rPr>
              <w:t>– handel, przemysł spożywczy</w:t>
            </w:r>
          </w:p>
          <w:p w:rsidR="00283CA5" w:rsidRPr="00FA16DE" w:rsidRDefault="00283CA5" w:rsidP="00BE7B5F">
            <w:pPr>
              <w:widowControl w:val="0"/>
              <w:rPr>
                <w:rFonts w:ascii="Calibri" w:hAnsi="Calibri" w:cs="Calibri"/>
                <w:color w:val="000000"/>
                <w:sz w:val="20"/>
                <w:szCs w:val="20"/>
              </w:rPr>
            </w:pPr>
            <w:r>
              <w:rPr>
                <w:rFonts w:ascii="Calibri" w:hAnsi="Calibri" w:cs="Calibri"/>
                <w:bCs/>
                <w:color w:val="1EAA82"/>
                <w:sz w:val="20"/>
                <w:szCs w:val="20"/>
              </w:rPr>
              <w:t>Dyrektor Biura Analiz i Doradztwa Inwestycyjnego</w:t>
            </w:r>
            <w:r w:rsidRPr="00FA16DE">
              <w:rPr>
                <w:rFonts w:ascii="Calibri" w:hAnsi="Calibri" w:cs="Calibri"/>
                <w:b/>
                <w:bCs/>
                <w:color w:val="1EAA82"/>
                <w:sz w:val="20"/>
                <w:szCs w:val="20"/>
              </w:rPr>
              <w:t xml:space="preserve"> </w:t>
            </w:r>
          </w:p>
          <w:p w:rsidR="00283CA5" w:rsidRDefault="006B5E2F" w:rsidP="00BE7B5F">
            <w:pPr>
              <w:widowControl w:val="0"/>
              <w:rPr>
                <w:rStyle w:val="Hipercze"/>
                <w:color w:val="1EAA82"/>
              </w:rPr>
            </w:pPr>
            <w:hyperlink r:id="rId53" w:history="1">
              <w:r w:rsidR="00283CA5" w:rsidRPr="00831112">
                <w:rPr>
                  <w:rStyle w:val="Hipercze"/>
                  <w:rFonts w:ascii="Calibri" w:hAnsi="Calibri" w:cs="Calibri"/>
                  <w:color w:val="1EAA82"/>
                  <w:sz w:val="20"/>
                  <w:szCs w:val="20"/>
                </w:rPr>
                <w:t>marcin.stebakow@dmbps.pl</w:t>
              </w:r>
            </w:hyperlink>
          </w:p>
          <w:p w:rsidR="00283CA5" w:rsidRPr="00FA16DE" w:rsidRDefault="00283CA5" w:rsidP="00BE7B5F">
            <w:pPr>
              <w:widowControl w:val="0"/>
              <w:rPr>
                <w:rFonts w:ascii="Calibri" w:hAnsi="Calibri" w:cs="Calibri"/>
                <w:color w:val="1EAA82"/>
                <w:sz w:val="20"/>
                <w:szCs w:val="20"/>
              </w:rPr>
            </w:pPr>
            <w:r w:rsidRPr="00FA16DE">
              <w:rPr>
                <w:rFonts w:ascii="Calibri" w:hAnsi="Calibri" w:cs="Calibri"/>
                <w:color w:val="1EAA82"/>
                <w:sz w:val="20"/>
                <w:szCs w:val="20"/>
              </w:rPr>
              <w:t>tel.: (22) 53 95 548</w:t>
            </w:r>
          </w:p>
          <w:p w:rsidR="00283CA5" w:rsidRPr="00FA16DE" w:rsidRDefault="00283CA5" w:rsidP="00BE7B5F">
            <w:pPr>
              <w:widowControl w:val="0"/>
              <w:spacing w:before="60"/>
              <w:rPr>
                <w:rFonts w:ascii="Calibri" w:hAnsi="Calibri" w:cs="Calibri"/>
                <w:sz w:val="20"/>
                <w:szCs w:val="20"/>
              </w:rPr>
            </w:pPr>
            <w:r w:rsidRPr="00FA16DE">
              <w:rPr>
                <w:rFonts w:ascii="Calibri" w:hAnsi="Calibri" w:cs="Calibri"/>
                <w:b/>
                <w:bCs/>
                <w:color w:val="1EAA82"/>
                <w:sz w:val="20"/>
                <w:szCs w:val="20"/>
              </w:rPr>
              <w:t xml:space="preserve">Kamil Artyszuk </w:t>
            </w:r>
            <w:r>
              <w:rPr>
                <w:rFonts w:ascii="Calibri" w:hAnsi="Calibri" w:cs="Calibri"/>
                <w:color w:val="1EAA82"/>
                <w:sz w:val="20"/>
                <w:szCs w:val="20"/>
              </w:rPr>
              <w:t xml:space="preserve">– </w:t>
            </w:r>
            <w:r w:rsidRPr="00FA16DE">
              <w:rPr>
                <w:rFonts w:ascii="Calibri" w:hAnsi="Calibri" w:cs="Calibri"/>
                <w:color w:val="1EAA82"/>
                <w:sz w:val="20"/>
                <w:szCs w:val="20"/>
              </w:rPr>
              <w:t>obligacje</w:t>
            </w:r>
          </w:p>
          <w:p w:rsidR="00283CA5" w:rsidRPr="00831112" w:rsidRDefault="006B5E2F" w:rsidP="00BE7B5F">
            <w:pPr>
              <w:widowControl w:val="0"/>
              <w:rPr>
                <w:rStyle w:val="Hipercze"/>
                <w:rFonts w:ascii="Calibri" w:hAnsi="Calibri" w:cs="Calibri"/>
                <w:color w:val="1EAA82"/>
                <w:sz w:val="20"/>
                <w:szCs w:val="20"/>
              </w:rPr>
            </w:pPr>
            <w:r w:rsidRPr="00831112">
              <w:rPr>
                <w:rStyle w:val="Hipercze"/>
                <w:color w:val="1EAA82"/>
              </w:rPr>
              <w:fldChar w:fldCharType="begin"/>
            </w:r>
            <w:r w:rsidR="00283CA5" w:rsidRPr="00831112">
              <w:rPr>
                <w:rStyle w:val="Hipercze"/>
                <w:color w:val="1EAA82"/>
              </w:rPr>
              <w:instrText xml:space="preserve"> HYPERLINK "mailto:kamil.artyszuk@dmbps.pl" </w:instrText>
            </w:r>
            <w:r w:rsidRPr="00831112">
              <w:rPr>
                <w:rStyle w:val="Hipercze"/>
                <w:color w:val="1EAA82"/>
              </w:rPr>
              <w:fldChar w:fldCharType="separate"/>
            </w:r>
            <w:r w:rsidR="00283CA5" w:rsidRPr="00831112">
              <w:rPr>
                <w:rStyle w:val="Hipercze"/>
                <w:rFonts w:ascii="Calibri" w:hAnsi="Calibri" w:cs="Calibri"/>
                <w:color w:val="1EAA82"/>
                <w:sz w:val="20"/>
                <w:szCs w:val="20"/>
              </w:rPr>
              <w:t>kamil.artyszuk@dmbps.pl</w:t>
            </w:r>
          </w:p>
          <w:p w:rsidR="00283CA5" w:rsidRPr="00831112" w:rsidRDefault="006B5E2F" w:rsidP="00BE7B5F">
            <w:pPr>
              <w:widowControl w:val="0"/>
              <w:rPr>
                <w:rFonts w:ascii="Calibri" w:hAnsi="Calibri" w:cs="Calibri"/>
                <w:color w:val="1EAA82"/>
                <w:sz w:val="20"/>
                <w:szCs w:val="20"/>
              </w:rPr>
            </w:pPr>
            <w:r w:rsidRPr="00831112">
              <w:rPr>
                <w:rStyle w:val="Hipercze"/>
                <w:color w:val="1EAA82"/>
              </w:rPr>
              <w:fldChar w:fldCharType="end"/>
            </w:r>
            <w:r w:rsidR="00283CA5" w:rsidRPr="00831112">
              <w:rPr>
                <w:rFonts w:ascii="Calibri" w:hAnsi="Calibri" w:cs="Calibri"/>
                <w:color w:val="1EAA82"/>
                <w:sz w:val="20"/>
                <w:szCs w:val="20"/>
              </w:rPr>
              <w:t>tel.: (22) 53 95 535</w:t>
            </w:r>
          </w:p>
          <w:p w:rsidR="00283CA5" w:rsidRPr="00FA16DE" w:rsidRDefault="00283CA5" w:rsidP="00BE7B5F">
            <w:pPr>
              <w:widowControl w:val="0"/>
              <w:spacing w:before="60"/>
              <w:rPr>
                <w:rFonts w:ascii="Calibri" w:hAnsi="Calibri" w:cs="Calibri"/>
                <w:sz w:val="20"/>
                <w:szCs w:val="20"/>
              </w:rPr>
            </w:pPr>
            <w:r>
              <w:rPr>
                <w:rFonts w:ascii="Calibri" w:hAnsi="Calibri" w:cs="Calibri"/>
                <w:b/>
                <w:bCs/>
                <w:color w:val="1EAA82"/>
                <w:sz w:val="20"/>
                <w:szCs w:val="20"/>
              </w:rPr>
              <w:t>Damian Szparaga</w:t>
            </w:r>
            <w:r w:rsidRPr="00FA16DE">
              <w:rPr>
                <w:rFonts w:ascii="Calibri" w:hAnsi="Calibri" w:cs="Calibri"/>
                <w:b/>
                <w:bCs/>
                <w:color w:val="1EAA82"/>
                <w:sz w:val="20"/>
                <w:szCs w:val="20"/>
              </w:rPr>
              <w:t xml:space="preserve">, </w:t>
            </w:r>
            <w:r w:rsidRPr="00FA16DE">
              <w:rPr>
                <w:rFonts w:ascii="Calibri" w:hAnsi="Calibri" w:cs="Calibri"/>
                <w:color w:val="1EAA82"/>
                <w:sz w:val="20"/>
                <w:szCs w:val="20"/>
              </w:rPr>
              <w:t>MPW</w:t>
            </w:r>
            <w:r>
              <w:rPr>
                <w:rFonts w:ascii="Calibri" w:hAnsi="Calibri" w:cs="Calibri"/>
                <w:color w:val="1EAA82"/>
                <w:sz w:val="20"/>
                <w:szCs w:val="20"/>
              </w:rPr>
              <w:t xml:space="preserve"> – energetyka</w:t>
            </w:r>
          </w:p>
          <w:p w:rsidR="00283CA5" w:rsidRPr="00E64E33" w:rsidRDefault="006B5E2F" w:rsidP="00BE7B5F">
            <w:pPr>
              <w:widowControl w:val="0"/>
              <w:rPr>
                <w:rStyle w:val="Hipercze"/>
                <w:color w:val="1EAA82"/>
              </w:rPr>
            </w:pPr>
            <w:hyperlink r:id="rId54" w:history="1">
              <w:r w:rsidR="00283CA5" w:rsidRPr="00E64E33">
                <w:rPr>
                  <w:rStyle w:val="Hipercze"/>
                  <w:rFonts w:ascii="Calibri" w:hAnsi="Calibri" w:cs="Calibri"/>
                  <w:color w:val="1EAA82"/>
                  <w:sz w:val="20"/>
                  <w:szCs w:val="20"/>
                </w:rPr>
                <w:t>damian.szparaga@dmbps.pl</w:t>
              </w:r>
            </w:hyperlink>
          </w:p>
          <w:p w:rsidR="00283CA5" w:rsidRDefault="00283CA5" w:rsidP="00BE7B5F">
            <w:pPr>
              <w:widowControl w:val="0"/>
              <w:rPr>
                <w:rFonts w:ascii="Calibri" w:hAnsi="Calibri" w:cs="Calibri"/>
                <w:color w:val="1EAA82"/>
                <w:sz w:val="20"/>
                <w:szCs w:val="20"/>
              </w:rPr>
            </w:pPr>
            <w:r w:rsidRPr="00FA16DE">
              <w:rPr>
                <w:rFonts w:ascii="Calibri" w:hAnsi="Calibri" w:cs="Calibri"/>
                <w:color w:val="1EAA82"/>
                <w:sz w:val="20"/>
                <w:szCs w:val="20"/>
              </w:rPr>
              <w:t>tel.: (22) 53 95</w:t>
            </w:r>
            <w:r>
              <w:rPr>
                <w:rFonts w:ascii="Calibri" w:hAnsi="Calibri" w:cs="Calibri"/>
                <w:color w:val="1EAA82"/>
                <w:sz w:val="20"/>
                <w:szCs w:val="20"/>
              </w:rPr>
              <w:t> 516</w:t>
            </w:r>
          </w:p>
          <w:p w:rsidR="00283CA5" w:rsidRPr="00FA16DE" w:rsidRDefault="00283CA5" w:rsidP="00BE7B5F">
            <w:pPr>
              <w:widowControl w:val="0"/>
              <w:spacing w:before="60"/>
              <w:rPr>
                <w:rFonts w:ascii="Calibri" w:hAnsi="Calibri" w:cs="Calibri"/>
                <w:sz w:val="20"/>
                <w:szCs w:val="20"/>
              </w:rPr>
            </w:pPr>
            <w:r>
              <w:rPr>
                <w:rFonts w:ascii="Calibri" w:hAnsi="Calibri" w:cs="Calibri"/>
                <w:b/>
                <w:bCs/>
                <w:color w:val="1EAA82"/>
                <w:sz w:val="20"/>
                <w:szCs w:val="20"/>
              </w:rPr>
              <w:t xml:space="preserve">Marta </w:t>
            </w:r>
            <w:r w:rsidRPr="002A2B42">
              <w:rPr>
                <w:rFonts w:ascii="Calibri" w:hAnsi="Calibri" w:cs="Calibri"/>
                <w:b/>
                <w:bCs/>
                <w:color w:val="1EAA82"/>
                <w:sz w:val="20"/>
                <w:szCs w:val="20"/>
              </w:rPr>
              <w:t>Czajkowska-Bałdyga</w:t>
            </w:r>
            <w:r>
              <w:rPr>
                <w:rFonts w:ascii="Calibri" w:hAnsi="Calibri" w:cs="Calibri"/>
                <w:b/>
                <w:bCs/>
                <w:color w:val="1EAA82"/>
                <w:sz w:val="20"/>
                <w:szCs w:val="20"/>
              </w:rPr>
              <w:t xml:space="preserve"> </w:t>
            </w:r>
            <w:r>
              <w:rPr>
                <w:rFonts w:ascii="Calibri" w:hAnsi="Calibri" w:cs="Calibri"/>
                <w:color w:val="1EAA82"/>
                <w:sz w:val="20"/>
                <w:szCs w:val="20"/>
              </w:rPr>
              <w:t>– banki</w:t>
            </w:r>
          </w:p>
          <w:p w:rsidR="00283CA5" w:rsidRPr="002A2B42" w:rsidRDefault="006B5E2F" w:rsidP="00BE7B5F">
            <w:pPr>
              <w:widowControl w:val="0"/>
              <w:rPr>
                <w:rStyle w:val="Hipercze"/>
                <w:rFonts w:ascii="Calibri" w:hAnsi="Calibri" w:cs="Calibri"/>
                <w:color w:val="1EAA82"/>
                <w:sz w:val="20"/>
                <w:szCs w:val="20"/>
              </w:rPr>
            </w:pPr>
            <w:hyperlink r:id="rId55" w:history="1">
              <w:r w:rsidR="00283CA5" w:rsidRPr="002A2B42">
                <w:rPr>
                  <w:rStyle w:val="Hipercze"/>
                  <w:rFonts w:ascii="Calibri" w:hAnsi="Calibri" w:cs="Calibri"/>
                  <w:color w:val="1EAA82"/>
                  <w:sz w:val="20"/>
                  <w:szCs w:val="20"/>
                </w:rPr>
                <w:t>marta.czajkowska-baldyga@dmbps.pl</w:t>
              </w:r>
            </w:hyperlink>
          </w:p>
          <w:p w:rsidR="00283CA5" w:rsidRDefault="00283CA5" w:rsidP="00BE7B5F">
            <w:pPr>
              <w:widowControl w:val="0"/>
              <w:rPr>
                <w:rFonts w:ascii="Calibri" w:hAnsi="Calibri" w:cs="Calibri"/>
                <w:color w:val="1EAA82"/>
                <w:sz w:val="20"/>
                <w:szCs w:val="20"/>
              </w:rPr>
            </w:pPr>
            <w:r w:rsidRPr="00FA16DE">
              <w:rPr>
                <w:rFonts w:ascii="Calibri" w:hAnsi="Calibri" w:cs="Calibri"/>
                <w:color w:val="1EAA82"/>
                <w:sz w:val="20"/>
                <w:szCs w:val="20"/>
              </w:rPr>
              <w:t>tel.: (22) 53 95</w:t>
            </w:r>
            <w:r>
              <w:rPr>
                <w:rFonts w:ascii="Calibri" w:hAnsi="Calibri" w:cs="Calibri"/>
                <w:color w:val="1EAA82"/>
                <w:sz w:val="20"/>
                <w:szCs w:val="20"/>
              </w:rPr>
              <w:t> 527</w:t>
            </w:r>
          </w:p>
          <w:p w:rsidR="00283CA5" w:rsidRPr="00FA16DE" w:rsidRDefault="00283CA5" w:rsidP="00BE7B5F">
            <w:pPr>
              <w:widowControl w:val="0"/>
              <w:spacing w:before="60"/>
              <w:rPr>
                <w:rFonts w:ascii="Calibri" w:hAnsi="Calibri" w:cs="Calibri"/>
                <w:sz w:val="20"/>
                <w:szCs w:val="20"/>
              </w:rPr>
            </w:pPr>
            <w:r>
              <w:rPr>
                <w:rFonts w:ascii="Calibri" w:hAnsi="Calibri" w:cs="Calibri"/>
                <w:b/>
                <w:bCs/>
                <w:color w:val="1EAA82"/>
                <w:sz w:val="20"/>
                <w:szCs w:val="20"/>
              </w:rPr>
              <w:t xml:space="preserve">Kamil Szlaga </w:t>
            </w:r>
            <w:r>
              <w:rPr>
                <w:rFonts w:ascii="Calibri" w:hAnsi="Calibri" w:cs="Calibri"/>
                <w:color w:val="1EAA82"/>
                <w:sz w:val="20"/>
                <w:szCs w:val="20"/>
              </w:rPr>
              <w:t>– chemia</w:t>
            </w:r>
          </w:p>
          <w:p w:rsidR="00283CA5" w:rsidRPr="002A2B42" w:rsidRDefault="006B5E2F" w:rsidP="00BE7B5F">
            <w:pPr>
              <w:widowControl w:val="0"/>
              <w:rPr>
                <w:rStyle w:val="Hipercze"/>
                <w:rFonts w:ascii="Calibri" w:hAnsi="Calibri" w:cs="Calibri"/>
                <w:color w:val="1EAA82"/>
                <w:sz w:val="20"/>
                <w:szCs w:val="20"/>
              </w:rPr>
            </w:pPr>
            <w:hyperlink r:id="rId56" w:history="1">
              <w:r w:rsidR="00283CA5" w:rsidRPr="002A2B42">
                <w:rPr>
                  <w:rStyle w:val="Hipercze"/>
                  <w:rFonts w:ascii="Calibri" w:hAnsi="Calibri" w:cs="Calibri"/>
                  <w:color w:val="1EAA82"/>
                  <w:sz w:val="20"/>
                  <w:szCs w:val="20"/>
                </w:rPr>
                <w:t>kamil.szlaga@dmbps.pl</w:t>
              </w:r>
            </w:hyperlink>
          </w:p>
          <w:p w:rsidR="00283CA5" w:rsidRDefault="00283CA5" w:rsidP="00BE7B5F">
            <w:pPr>
              <w:widowControl w:val="0"/>
              <w:rPr>
                <w:rFonts w:ascii="Calibri" w:hAnsi="Calibri" w:cs="Calibri"/>
                <w:color w:val="1EAA82"/>
                <w:sz w:val="20"/>
                <w:szCs w:val="20"/>
              </w:rPr>
            </w:pPr>
            <w:r w:rsidRPr="00FA16DE">
              <w:rPr>
                <w:rFonts w:ascii="Calibri" w:hAnsi="Calibri" w:cs="Calibri"/>
                <w:color w:val="1EAA82"/>
                <w:sz w:val="20"/>
                <w:szCs w:val="20"/>
              </w:rPr>
              <w:t>tel.: (22) 53 95</w:t>
            </w:r>
            <w:r>
              <w:rPr>
                <w:rFonts w:ascii="Calibri" w:hAnsi="Calibri" w:cs="Calibri"/>
                <w:color w:val="1EAA82"/>
                <w:sz w:val="20"/>
                <w:szCs w:val="20"/>
              </w:rPr>
              <w:t> 540</w:t>
            </w:r>
          </w:p>
          <w:p w:rsidR="00283CA5" w:rsidRDefault="00283CA5" w:rsidP="00BE7B5F">
            <w:pPr>
              <w:widowControl w:val="0"/>
              <w:rPr>
                <w:rFonts w:ascii="Calibri" w:hAnsi="Calibri" w:cs="Calibri"/>
                <w:color w:val="1EAA82"/>
                <w:sz w:val="20"/>
                <w:szCs w:val="20"/>
              </w:rPr>
            </w:pPr>
          </w:p>
          <w:p w:rsidR="00283CA5" w:rsidRPr="00FA16DE" w:rsidRDefault="00283CA5" w:rsidP="00BE7B5F">
            <w:pPr>
              <w:widowControl w:val="0"/>
              <w:rPr>
                <w:rFonts w:ascii="Calibri" w:hAnsi="Calibri" w:cs="Calibri"/>
                <w:color w:val="1EAB83"/>
              </w:rPr>
            </w:pPr>
            <w:r w:rsidRPr="00FA16DE">
              <w:rPr>
                <w:rFonts w:ascii="Calibri" w:hAnsi="Calibri" w:cs="Calibri"/>
                <w:color w:val="1EAB83"/>
              </w:rPr>
              <w:t>Analitycy techniczni:</w:t>
            </w:r>
          </w:p>
          <w:p w:rsidR="00283CA5" w:rsidRDefault="00283CA5" w:rsidP="00BE7B5F">
            <w:pPr>
              <w:widowControl w:val="0"/>
              <w:rPr>
                <w:rFonts w:ascii="Calibri" w:hAnsi="Calibri" w:cs="Calibri"/>
                <w:b/>
                <w:bCs/>
                <w:color w:val="1EAA82"/>
                <w:sz w:val="20"/>
                <w:szCs w:val="20"/>
              </w:rPr>
            </w:pPr>
            <w:r w:rsidRPr="00FA16DE">
              <w:rPr>
                <w:rFonts w:ascii="Calibri" w:hAnsi="Calibri" w:cs="Calibri"/>
                <w:b/>
                <w:bCs/>
                <w:color w:val="1EAA82"/>
                <w:sz w:val="20"/>
                <w:szCs w:val="20"/>
              </w:rPr>
              <w:t>Jacek Borawski</w:t>
            </w:r>
          </w:p>
          <w:p w:rsidR="00283CA5" w:rsidRPr="00D90F32" w:rsidRDefault="00283CA5" w:rsidP="00BE7B5F">
            <w:pPr>
              <w:widowControl w:val="0"/>
              <w:rPr>
                <w:rFonts w:ascii="Calibri" w:hAnsi="Calibri" w:cs="Calibri"/>
                <w:b/>
                <w:bCs/>
                <w:color w:val="1EAA82"/>
                <w:sz w:val="20"/>
                <w:szCs w:val="20"/>
              </w:rPr>
            </w:pPr>
          </w:p>
          <w:p w:rsidR="00283CA5" w:rsidRPr="00FA16DE" w:rsidRDefault="00283CA5" w:rsidP="00BE7B5F">
            <w:pPr>
              <w:widowControl w:val="0"/>
              <w:rPr>
                <w:rFonts w:ascii="Calibri" w:hAnsi="Calibri" w:cs="Calibri"/>
                <w:color w:val="1EAB83"/>
              </w:rPr>
            </w:pPr>
            <w:r w:rsidRPr="00FA16DE">
              <w:rPr>
                <w:rFonts w:ascii="Calibri" w:hAnsi="Calibri" w:cs="Calibri"/>
                <w:color w:val="1EAB83"/>
              </w:rPr>
              <w:t>Biuro Sprzedaży:</w:t>
            </w:r>
          </w:p>
          <w:p w:rsidR="00283CA5" w:rsidRDefault="00283CA5" w:rsidP="00BE7B5F">
            <w:pPr>
              <w:widowControl w:val="0"/>
              <w:spacing w:before="60"/>
              <w:rPr>
                <w:rFonts w:ascii="Calibri" w:hAnsi="Calibri" w:cs="Calibri"/>
                <w:b/>
                <w:bCs/>
                <w:color w:val="1EAA82"/>
                <w:sz w:val="20"/>
                <w:szCs w:val="20"/>
              </w:rPr>
            </w:pPr>
            <w:r>
              <w:rPr>
                <w:rFonts w:ascii="Calibri" w:hAnsi="Calibri" w:cs="Calibri"/>
                <w:b/>
                <w:bCs/>
                <w:color w:val="1EAA82"/>
                <w:sz w:val="20"/>
                <w:szCs w:val="20"/>
              </w:rPr>
              <w:t>Mirosław Sobczak</w:t>
            </w:r>
          </w:p>
          <w:p w:rsidR="00283CA5" w:rsidRPr="00831112" w:rsidRDefault="00283CA5" w:rsidP="00BE7B5F">
            <w:pPr>
              <w:widowControl w:val="0"/>
              <w:rPr>
                <w:rFonts w:asciiTheme="minorHAnsi" w:hAnsiTheme="minorHAnsi" w:cstheme="minorHAnsi"/>
                <w:color w:val="000000"/>
                <w:sz w:val="20"/>
                <w:szCs w:val="20"/>
              </w:rPr>
            </w:pPr>
            <w:r w:rsidRPr="00831112">
              <w:rPr>
                <w:rFonts w:asciiTheme="minorHAnsi" w:hAnsiTheme="minorHAnsi" w:cstheme="minorHAnsi"/>
                <w:bCs/>
                <w:color w:val="1EAA82"/>
                <w:sz w:val="20"/>
                <w:szCs w:val="20"/>
              </w:rPr>
              <w:t>Dyrektor Biura Sprzedaży</w:t>
            </w:r>
            <w:r w:rsidRPr="00831112">
              <w:rPr>
                <w:rFonts w:asciiTheme="minorHAnsi" w:hAnsiTheme="minorHAnsi" w:cstheme="minorHAnsi"/>
                <w:b/>
                <w:bCs/>
                <w:color w:val="1EAA82"/>
                <w:sz w:val="20"/>
                <w:szCs w:val="20"/>
              </w:rPr>
              <w:t xml:space="preserve"> </w:t>
            </w:r>
          </w:p>
          <w:p w:rsidR="00283CA5" w:rsidRPr="00831112" w:rsidRDefault="006B5E2F" w:rsidP="00BE7B5F">
            <w:pPr>
              <w:widowControl w:val="0"/>
              <w:rPr>
                <w:rFonts w:asciiTheme="minorHAnsi" w:hAnsiTheme="minorHAnsi" w:cstheme="minorHAnsi"/>
                <w:color w:val="1EAA82"/>
                <w:sz w:val="20"/>
                <w:szCs w:val="20"/>
                <w:u w:val="single"/>
              </w:rPr>
            </w:pPr>
            <w:r w:rsidRPr="00831112">
              <w:rPr>
                <w:rFonts w:asciiTheme="minorHAnsi" w:hAnsiTheme="minorHAnsi" w:cstheme="minorHAnsi"/>
                <w:color w:val="1EAA82"/>
                <w:sz w:val="20"/>
                <w:szCs w:val="20"/>
                <w:u w:val="single"/>
              </w:rPr>
              <w:fldChar w:fldCharType="begin"/>
            </w:r>
            <w:r w:rsidR="00283CA5" w:rsidRPr="00831112">
              <w:rPr>
                <w:rFonts w:asciiTheme="minorHAnsi" w:hAnsiTheme="minorHAnsi" w:cstheme="minorHAnsi"/>
                <w:color w:val="1EAA82"/>
                <w:sz w:val="20"/>
                <w:szCs w:val="20"/>
                <w:u w:val="single"/>
              </w:rPr>
              <w:instrText xml:space="preserve"> HYPERLINK "mailto:miroslaw.sobczak@dmbps.pl" </w:instrText>
            </w:r>
            <w:r w:rsidRPr="00831112">
              <w:rPr>
                <w:rFonts w:asciiTheme="minorHAnsi" w:hAnsiTheme="minorHAnsi" w:cstheme="minorHAnsi"/>
                <w:color w:val="1EAA82"/>
                <w:sz w:val="20"/>
                <w:szCs w:val="20"/>
                <w:u w:val="single"/>
              </w:rPr>
              <w:fldChar w:fldCharType="separate"/>
            </w:r>
            <w:r w:rsidR="00283CA5" w:rsidRPr="00831112">
              <w:rPr>
                <w:rFonts w:asciiTheme="minorHAnsi" w:hAnsiTheme="minorHAnsi" w:cstheme="minorHAnsi"/>
                <w:color w:val="1EAA82"/>
                <w:sz w:val="20"/>
                <w:szCs w:val="20"/>
                <w:u w:val="single"/>
              </w:rPr>
              <w:t>miroslaw.sobczak@dmbps.pl</w:t>
            </w:r>
          </w:p>
          <w:p w:rsidR="00283CA5" w:rsidRPr="00831112" w:rsidRDefault="006B5E2F" w:rsidP="00BE7B5F">
            <w:pPr>
              <w:widowControl w:val="0"/>
              <w:spacing w:before="60"/>
              <w:rPr>
                <w:rFonts w:asciiTheme="minorHAnsi" w:hAnsiTheme="minorHAnsi" w:cstheme="minorHAnsi"/>
                <w:b/>
                <w:bCs/>
                <w:color w:val="1EAA82"/>
                <w:sz w:val="20"/>
                <w:szCs w:val="20"/>
              </w:rPr>
            </w:pPr>
            <w:r w:rsidRPr="00831112">
              <w:rPr>
                <w:rFonts w:asciiTheme="minorHAnsi" w:hAnsiTheme="minorHAnsi" w:cstheme="minorHAnsi"/>
                <w:color w:val="1EAA82"/>
                <w:sz w:val="20"/>
                <w:szCs w:val="20"/>
                <w:u w:val="single"/>
              </w:rPr>
              <w:fldChar w:fldCharType="end"/>
            </w:r>
            <w:r w:rsidR="00283CA5" w:rsidRPr="00831112">
              <w:rPr>
                <w:rFonts w:asciiTheme="minorHAnsi" w:hAnsiTheme="minorHAnsi" w:cstheme="minorHAnsi"/>
                <w:color w:val="1EAA82"/>
                <w:sz w:val="20"/>
                <w:szCs w:val="20"/>
              </w:rPr>
              <w:t>tel.: (22) 53 95 553</w:t>
            </w:r>
          </w:p>
          <w:p w:rsidR="00283CA5" w:rsidRPr="00831112" w:rsidRDefault="00283CA5" w:rsidP="00BE7B5F">
            <w:pPr>
              <w:widowControl w:val="0"/>
              <w:spacing w:before="60"/>
              <w:rPr>
                <w:rFonts w:asciiTheme="minorHAnsi" w:hAnsiTheme="minorHAnsi" w:cstheme="minorHAnsi"/>
                <w:color w:val="1EAA82"/>
                <w:sz w:val="20"/>
                <w:szCs w:val="20"/>
              </w:rPr>
            </w:pPr>
            <w:r w:rsidRPr="00831112">
              <w:rPr>
                <w:rFonts w:asciiTheme="minorHAnsi" w:hAnsiTheme="minorHAnsi" w:cstheme="minorHAnsi"/>
                <w:b/>
                <w:bCs/>
                <w:color w:val="1EAA82"/>
                <w:sz w:val="20"/>
                <w:szCs w:val="20"/>
              </w:rPr>
              <w:t xml:space="preserve">Beata Zbrzezna, </w:t>
            </w:r>
            <w:r w:rsidRPr="00831112">
              <w:rPr>
                <w:rFonts w:asciiTheme="minorHAnsi" w:hAnsiTheme="minorHAnsi" w:cstheme="minorHAnsi"/>
                <w:color w:val="1EAA82"/>
                <w:sz w:val="20"/>
                <w:szCs w:val="20"/>
              </w:rPr>
              <w:t>MPW</w:t>
            </w:r>
          </w:p>
          <w:p w:rsidR="00283CA5" w:rsidRPr="00831112" w:rsidRDefault="00283CA5" w:rsidP="00BE7B5F">
            <w:pPr>
              <w:widowControl w:val="0"/>
              <w:rPr>
                <w:rFonts w:asciiTheme="minorHAnsi" w:hAnsiTheme="minorHAnsi" w:cstheme="minorHAnsi"/>
                <w:color w:val="1EAA82"/>
                <w:sz w:val="20"/>
                <w:szCs w:val="20"/>
                <w:u w:val="single"/>
              </w:rPr>
            </w:pPr>
            <w:r w:rsidRPr="00831112">
              <w:rPr>
                <w:rFonts w:asciiTheme="minorHAnsi" w:hAnsiTheme="minorHAnsi" w:cstheme="minorHAnsi"/>
                <w:color w:val="1EAA82"/>
                <w:sz w:val="20"/>
                <w:szCs w:val="20"/>
                <w:u w:val="single"/>
              </w:rPr>
              <w:t>beata.zbrzezna</w:t>
            </w:r>
            <w:hyperlink r:id="rId57" w:history="1">
              <w:r w:rsidRPr="00831112">
                <w:rPr>
                  <w:rStyle w:val="Hipercze"/>
                  <w:rFonts w:asciiTheme="minorHAnsi" w:hAnsiTheme="minorHAnsi" w:cstheme="minorHAnsi"/>
                  <w:color w:val="1EAA82"/>
                  <w:sz w:val="20"/>
                  <w:szCs w:val="20"/>
                </w:rPr>
                <w:t>@dmbps.pl</w:t>
              </w:r>
            </w:hyperlink>
          </w:p>
          <w:p w:rsidR="00283CA5" w:rsidRPr="00E64E33" w:rsidRDefault="00283CA5" w:rsidP="00BE7B5F">
            <w:pPr>
              <w:widowControl w:val="0"/>
              <w:rPr>
                <w:rFonts w:ascii="Calibri" w:hAnsi="Calibri" w:cs="Calibri"/>
                <w:color w:val="1EAA82"/>
                <w:sz w:val="20"/>
                <w:szCs w:val="20"/>
              </w:rPr>
            </w:pPr>
            <w:r w:rsidRPr="00FA16DE">
              <w:rPr>
                <w:rFonts w:ascii="Calibri" w:hAnsi="Calibri" w:cs="Calibri"/>
                <w:color w:val="1EAA82"/>
                <w:sz w:val="20"/>
                <w:szCs w:val="20"/>
              </w:rPr>
              <w:t>tel.: (22) 53 95</w:t>
            </w:r>
            <w:r>
              <w:rPr>
                <w:rFonts w:ascii="Calibri" w:hAnsi="Calibri" w:cs="Calibri"/>
                <w:color w:val="1EAA82"/>
                <w:sz w:val="20"/>
                <w:szCs w:val="20"/>
              </w:rPr>
              <w:t> </w:t>
            </w:r>
            <w:r w:rsidRPr="00FA16DE">
              <w:rPr>
                <w:rFonts w:ascii="Calibri" w:hAnsi="Calibri" w:cs="Calibri"/>
                <w:color w:val="1EAA82"/>
                <w:sz w:val="20"/>
                <w:szCs w:val="20"/>
              </w:rPr>
              <w:t>544</w:t>
            </w:r>
          </w:p>
        </w:tc>
        <w:tc>
          <w:tcPr>
            <w:tcW w:w="5400" w:type="dxa"/>
          </w:tcPr>
          <w:p w:rsidR="00283CA5" w:rsidRPr="00E559BA" w:rsidRDefault="00283CA5" w:rsidP="00BE7B5F">
            <w:pPr>
              <w:tabs>
                <w:tab w:val="left" w:pos="6960"/>
              </w:tabs>
              <w:rPr>
                <w:rFonts w:ascii="Calibri" w:hAnsi="Calibri" w:cs="Calibri"/>
                <w:color w:val="1EAA82"/>
                <w:sz w:val="10"/>
                <w:szCs w:val="10"/>
              </w:rPr>
            </w:pPr>
          </w:p>
          <w:p w:rsidR="00283CA5" w:rsidRPr="00FA16DE" w:rsidRDefault="00283CA5" w:rsidP="00BE7B5F">
            <w:pPr>
              <w:tabs>
                <w:tab w:val="left" w:pos="6960"/>
              </w:tabs>
              <w:rPr>
                <w:rFonts w:ascii="Calibri" w:hAnsi="Calibri" w:cs="Calibri"/>
                <w:color w:val="1EAA82"/>
              </w:rPr>
            </w:pPr>
            <w:r w:rsidRPr="00FA16DE">
              <w:rPr>
                <w:rFonts w:ascii="Calibri" w:hAnsi="Calibri" w:cs="Calibri"/>
                <w:color w:val="1EAA82"/>
              </w:rPr>
              <w:t>Departament Operacji:</w:t>
            </w:r>
          </w:p>
          <w:p w:rsidR="00283CA5" w:rsidRPr="00FA16DE" w:rsidRDefault="00283CA5" w:rsidP="00BE7B5F">
            <w:pPr>
              <w:tabs>
                <w:tab w:val="left" w:pos="6960"/>
              </w:tabs>
              <w:ind w:left="650"/>
              <w:rPr>
                <w:rFonts w:ascii="Calibri" w:hAnsi="Calibri" w:cs="Calibri"/>
                <w:color w:val="1EAA82"/>
                <w:sz w:val="2"/>
                <w:szCs w:val="2"/>
              </w:rPr>
            </w:pPr>
          </w:p>
          <w:p w:rsidR="00283CA5" w:rsidRDefault="00283CA5" w:rsidP="00BE7B5F">
            <w:pPr>
              <w:widowControl w:val="0"/>
              <w:rPr>
                <w:rFonts w:ascii="Calibri" w:hAnsi="Calibri" w:cs="Calibri"/>
                <w:color w:val="1EAA82"/>
                <w:sz w:val="20"/>
                <w:szCs w:val="20"/>
              </w:rPr>
            </w:pPr>
            <w:r>
              <w:rPr>
                <w:rFonts w:ascii="Calibri" w:hAnsi="Calibri" w:cs="Calibri"/>
                <w:b/>
                <w:bCs/>
                <w:color w:val="1EAA82"/>
                <w:sz w:val="20"/>
                <w:szCs w:val="20"/>
              </w:rPr>
              <w:t>Piotr Majka</w:t>
            </w:r>
            <w:r w:rsidRPr="00FA16DE">
              <w:rPr>
                <w:rFonts w:ascii="Calibri" w:hAnsi="Calibri" w:cs="Calibri"/>
                <w:color w:val="1EAA82"/>
                <w:sz w:val="20"/>
                <w:szCs w:val="20"/>
              </w:rPr>
              <w:t>, MPW</w:t>
            </w:r>
          </w:p>
          <w:p w:rsidR="00283CA5" w:rsidRPr="00FD1270" w:rsidRDefault="00283CA5" w:rsidP="00BE7B5F">
            <w:pPr>
              <w:widowControl w:val="0"/>
              <w:rPr>
                <w:rFonts w:ascii="Calibri" w:hAnsi="Calibri" w:cs="Calibri"/>
                <w:color w:val="000000"/>
                <w:sz w:val="20"/>
                <w:szCs w:val="20"/>
              </w:rPr>
            </w:pPr>
            <w:r>
              <w:rPr>
                <w:rFonts w:ascii="Calibri" w:hAnsi="Calibri" w:cs="Calibri"/>
                <w:bCs/>
                <w:color w:val="1EAA82"/>
                <w:sz w:val="20"/>
                <w:szCs w:val="20"/>
              </w:rPr>
              <w:t>Dyrektor Departamentu Operacji</w:t>
            </w:r>
            <w:r w:rsidRPr="00FA16DE">
              <w:rPr>
                <w:rFonts w:ascii="Calibri" w:hAnsi="Calibri" w:cs="Calibri"/>
                <w:b/>
                <w:bCs/>
                <w:color w:val="1EAA82"/>
                <w:sz w:val="20"/>
                <w:szCs w:val="20"/>
              </w:rPr>
              <w:t xml:space="preserve"> </w:t>
            </w:r>
          </w:p>
          <w:p w:rsidR="00283CA5" w:rsidRPr="008C25AF" w:rsidRDefault="006B5E2F" w:rsidP="00BE7B5F">
            <w:pPr>
              <w:widowControl w:val="0"/>
              <w:rPr>
                <w:rStyle w:val="Hipercze"/>
                <w:color w:val="1EAA82"/>
              </w:rPr>
            </w:pPr>
            <w:hyperlink r:id="rId58" w:history="1">
              <w:r w:rsidR="00283CA5" w:rsidRPr="008C25AF">
                <w:rPr>
                  <w:rStyle w:val="Hipercze"/>
                  <w:rFonts w:ascii="Calibri" w:hAnsi="Calibri" w:cs="Calibri"/>
                  <w:color w:val="1EAA82"/>
                  <w:sz w:val="20"/>
                  <w:szCs w:val="20"/>
                </w:rPr>
                <w:t>piotr.majka@dmbps.pl</w:t>
              </w:r>
            </w:hyperlink>
          </w:p>
          <w:p w:rsidR="00283CA5" w:rsidRPr="00E50604" w:rsidRDefault="00283CA5" w:rsidP="00BE7B5F">
            <w:pPr>
              <w:widowControl w:val="0"/>
              <w:rPr>
                <w:rFonts w:ascii="Calibri" w:hAnsi="Calibri" w:cs="Calibri"/>
                <w:sz w:val="20"/>
                <w:szCs w:val="20"/>
              </w:rPr>
            </w:pPr>
            <w:r w:rsidRPr="00E50604">
              <w:rPr>
                <w:rFonts w:ascii="Calibri" w:hAnsi="Calibri" w:cs="Calibri"/>
                <w:color w:val="1EAA82"/>
                <w:sz w:val="20"/>
                <w:szCs w:val="20"/>
              </w:rPr>
              <w:t>Tel.: (22) 53 95</w:t>
            </w:r>
            <w:r>
              <w:rPr>
                <w:rFonts w:ascii="Calibri" w:hAnsi="Calibri" w:cs="Calibri"/>
                <w:color w:val="1EAA82"/>
                <w:sz w:val="20"/>
                <w:szCs w:val="20"/>
              </w:rPr>
              <w:t> </w:t>
            </w:r>
            <w:r w:rsidRPr="00E50604">
              <w:rPr>
                <w:rFonts w:ascii="Calibri" w:hAnsi="Calibri" w:cs="Calibri"/>
                <w:color w:val="1EAA82"/>
                <w:sz w:val="20"/>
                <w:szCs w:val="20"/>
              </w:rPr>
              <w:t>5</w:t>
            </w:r>
            <w:r>
              <w:rPr>
                <w:rFonts w:ascii="Calibri" w:hAnsi="Calibri" w:cs="Calibri"/>
                <w:color w:val="1EAA82"/>
                <w:sz w:val="20"/>
                <w:szCs w:val="20"/>
              </w:rPr>
              <w:t>20</w:t>
            </w:r>
          </w:p>
          <w:p w:rsidR="00283CA5" w:rsidRPr="00FA16DE" w:rsidRDefault="00283CA5" w:rsidP="00BE7B5F">
            <w:pPr>
              <w:widowControl w:val="0"/>
              <w:rPr>
                <w:rFonts w:ascii="Calibri" w:hAnsi="Calibri" w:cs="Calibri"/>
                <w:sz w:val="20"/>
                <w:szCs w:val="20"/>
              </w:rPr>
            </w:pPr>
            <w:r w:rsidRPr="00FA16DE">
              <w:rPr>
                <w:rFonts w:ascii="Calibri" w:hAnsi="Calibri" w:cs="Calibri"/>
                <w:b/>
                <w:bCs/>
                <w:color w:val="1EAA82"/>
                <w:sz w:val="20"/>
                <w:szCs w:val="20"/>
              </w:rPr>
              <w:t>Bogdan Dzimira</w:t>
            </w:r>
            <w:r w:rsidRPr="00FA16DE">
              <w:rPr>
                <w:rFonts w:ascii="Calibri" w:hAnsi="Calibri" w:cs="Calibri"/>
                <w:color w:val="1EAA82"/>
                <w:sz w:val="20"/>
                <w:szCs w:val="20"/>
              </w:rPr>
              <w:t>, MPW, Doradca Inwestycyjny</w:t>
            </w:r>
          </w:p>
          <w:p w:rsidR="00283CA5" w:rsidRPr="00FA16DE" w:rsidRDefault="006B5E2F" w:rsidP="00BE7B5F">
            <w:pPr>
              <w:widowControl w:val="0"/>
              <w:rPr>
                <w:rFonts w:ascii="Calibri" w:hAnsi="Calibri" w:cs="Calibri"/>
                <w:sz w:val="20"/>
                <w:szCs w:val="20"/>
              </w:rPr>
            </w:pPr>
            <w:hyperlink r:id="rId59" w:history="1">
              <w:r w:rsidR="00283CA5" w:rsidRPr="00FA16DE">
                <w:rPr>
                  <w:rStyle w:val="Hipercze"/>
                  <w:rFonts w:ascii="Calibri" w:hAnsi="Calibri" w:cs="Calibri"/>
                  <w:color w:val="1EAA82"/>
                  <w:sz w:val="20"/>
                  <w:szCs w:val="20"/>
                </w:rPr>
                <w:t>bogdan.dzimira@dmbps.pl</w:t>
              </w:r>
            </w:hyperlink>
          </w:p>
          <w:p w:rsidR="00283CA5" w:rsidRPr="008810A2" w:rsidRDefault="00283CA5" w:rsidP="00BE7B5F">
            <w:pPr>
              <w:widowControl w:val="0"/>
              <w:rPr>
                <w:rFonts w:ascii="Calibri" w:hAnsi="Calibri" w:cs="Calibri"/>
                <w:sz w:val="20"/>
                <w:szCs w:val="20"/>
                <w:lang w:val="en-US"/>
              </w:rPr>
            </w:pPr>
            <w:r w:rsidRPr="008810A2">
              <w:rPr>
                <w:rFonts w:ascii="Calibri" w:hAnsi="Calibri" w:cs="Calibri"/>
                <w:color w:val="1EAA82"/>
                <w:sz w:val="20"/>
                <w:szCs w:val="20"/>
                <w:lang w:val="en-US"/>
              </w:rPr>
              <w:t>Tel.: (22) 53 95 523</w:t>
            </w:r>
          </w:p>
          <w:p w:rsidR="00283CA5" w:rsidRPr="00FA16DE" w:rsidRDefault="00283CA5" w:rsidP="00BE7B5F">
            <w:pPr>
              <w:widowControl w:val="0"/>
              <w:spacing w:before="40"/>
              <w:rPr>
                <w:rFonts w:ascii="Calibri" w:hAnsi="Calibri" w:cs="Calibri"/>
                <w:color w:val="1EAA82"/>
                <w:sz w:val="20"/>
                <w:szCs w:val="20"/>
                <w:lang w:val="en-US"/>
              </w:rPr>
            </w:pPr>
            <w:r w:rsidRPr="00FA16DE">
              <w:rPr>
                <w:rFonts w:ascii="Calibri" w:hAnsi="Calibri" w:cs="Calibri"/>
                <w:b/>
                <w:bCs/>
                <w:color w:val="1EAA82"/>
                <w:sz w:val="20"/>
                <w:szCs w:val="20"/>
                <w:lang w:val="en-US"/>
              </w:rPr>
              <w:t>Jan Woźniak</w:t>
            </w:r>
            <w:r w:rsidRPr="00FA16DE">
              <w:rPr>
                <w:rFonts w:ascii="Calibri" w:hAnsi="Calibri" w:cs="Calibri"/>
                <w:color w:val="1EAA82"/>
                <w:sz w:val="20"/>
                <w:szCs w:val="20"/>
                <w:lang w:val="en-US"/>
              </w:rPr>
              <w:t>, MPW</w:t>
            </w:r>
          </w:p>
          <w:p w:rsidR="00283CA5" w:rsidRPr="00FA16DE" w:rsidRDefault="006B5E2F" w:rsidP="00BE7B5F">
            <w:pPr>
              <w:widowControl w:val="0"/>
              <w:rPr>
                <w:rFonts w:ascii="Calibri" w:hAnsi="Calibri" w:cs="Calibri"/>
                <w:color w:val="1EAA82"/>
                <w:sz w:val="20"/>
                <w:szCs w:val="20"/>
                <w:u w:val="single"/>
                <w:lang w:val="en-US"/>
              </w:rPr>
            </w:pPr>
            <w:hyperlink r:id="rId60" w:history="1">
              <w:r w:rsidR="00283CA5" w:rsidRPr="00FA16DE">
                <w:rPr>
                  <w:rStyle w:val="Hipercze"/>
                  <w:rFonts w:ascii="Calibri" w:hAnsi="Calibri" w:cs="Calibri"/>
                  <w:color w:val="1EAA82"/>
                  <w:sz w:val="20"/>
                  <w:szCs w:val="20"/>
                  <w:lang w:val="en-US"/>
                </w:rPr>
                <w:t>jan.wozniak@dmbps.pl</w:t>
              </w:r>
            </w:hyperlink>
          </w:p>
          <w:p w:rsidR="00283CA5" w:rsidRPr="00FA16DE" w:rsidRDefault="00283CA5" w:rsidP="00BE7B5F">
            <w:pPr>
              <w:widowControl w:val="0"/>
              <w:rPr>
                <w:rFonts w:ascii="Calibri" w:hAnsi="Calibri" w:cs="Calibri"/>
                <w:color w:val="1EAA82"/>
                <w:sz w:val="20"/>
                <w:szCs w:val="20"/>
                <w:lang w:val="en-US"/>
              </w:rPr>
            </w:pPr>
            <w:r w:rsidRPr="00FA16DE">
              <w:rPr>
                <w:rFonts w:ascii="Calibri" w:hAnsi="Calibri" w:cs="Calibri"/>
                <w:color w:val="1EAA82"/>
                <w:sz w:val="20"/>
                <w:szCs w:val="20"/>
                <w:lang w:val="en-US"/>
              </w:rPr>
              <w:t>tel.: (22) 53 95 536</w:t>
            </w:r>
          </w:p>
          <w:p w:rsidR="00283CA5" w:rsidRPr="00FA16DE" w:rsidRDefault="00283CA5" w:rsidP="00BE7B5F">
            <w:pPr>
              <w:widowControl w:val="0"/>
              <w:spacing w:before="40"/>
              <w:rPr>
                <w:rFonts w:ascii="Calibri" w:hAnsi="Calibri" w:cs="Calibri"/>
                <w:sz w:val="20"/>
                <w:szCs w:val="20"/>
                <w:lang w:val="en-US"/>
              </w:rPr>
            </w:pPr>
            <w:r w:rsidRPr="00FA16DE">
              <w:rPr>
                <w:rFonts w:ascii="Calibri" w:hAnsi="Calibri" w:cs="Calibri"/>
                <w:b/>
                <w:bCs/>
                <w:color w:val="1EAA82"/>
                <w:sz w:val="20"/>
                <w:szCs w:val="20"/>
                <w:lang w:val="en-US"/>
              </w:rPr>
              <w:t xml:space="preserve">Artur Kobos, </w:t>
            </w:r>
            <w:r w:rsidRPr="00FA16DE">
              <w:rPr>
                <w:rFonts w:ascii="Calibri" w:hAnsi="Calibri" w:cs="Calibri"/>
                <w:color w:val="1EAA82"/>
                <w:sz w:val="20"/>
                <w:szCs w:val="20"/>
                <w:lang w:val="en-US"/>
              </w:rPr>
              <w:t>MPW</w:t>
            </w:r>
          </w:p>
          <w:p w:rsidR="00283CA5" w:rsidRPr="00FA16DE" w:rsidRDefault="006B5E2F" w:rsidP="00BE7B5F">
            <w:pPr>
              <w:widowControl w:val="0"/>
              <w:rPr>
                <w:rFonts w:ascii="Calibri" w:hAnsi="Calibri" w:cs="Calibri"/>
                <w:sz w:val="20"/>
                <w:szCs w:val="20"/>
                <w:lang w:val="en-US"/>
              </w:rPr>
            </w:pPr>
            <w:hyperlink r:id="rId61" w:history="1">
              <w:r w:rsidR="00283CA5" w:rsidRPr="00FA16DE">
                <w:rPr>
                  <w:rStyle w:val="Hipercze"/>
                  <w:rFonts w:ascii="Calibri" w:hAnsi="Calibri" w:cs="Calibri"/>
                  <w:color w:val="1EAA82"/>
                  <w:sz w:val="20"/>
                  <w:szCs w:val="20"/>
                  <w:lang w:val="en-US"/>
                </w:rPr>
                <w:t>artur.kobos@dmbps.pl</w:t>
              </w:r>
            </w:hyperlink>
          </w:p>
          <w:p w:rsidR="00283CA5" w:rsidRPr="00B359BF" w:rsidRDefault="00283CA5" w:rsidP="00BE7B5F">
            <w:pPr>
              <w:widowControl w:val="0"/>
              <w:rPr>
                <w:rFonts w:ascii="Calibri" w:hAnsi="Calibri" w:cs="Calibri"/>
                <w:color w:val="1EAA82"/>
                <w:sz w:val="20"/>
                <w:szCs w:val="20"/>
              </w:rPr>
            </w:pPr>
            <w:r w:rsidRPr="00B359BF">
              <w:rPr>
                <w:rFonts w:ascii="Calibri" w:hAnsi="Calibri" w:cs="Calibri"/>
                <w:color w:val="1EAA82"/>
                <w:sz w:val="20"/>
                <w:szCs w:val="20"/>
              </w:rPr>
              <w:t>Tel.: (22) 53 95 511</w:t>
            </w:r>
          </w:p>
          <w:p w:rsidR="00283CA5" w:rsidRPr="00B359BF" w:rsidRDefault="00283CA5" w:rsidP="00BE7B5F">
            <w:pPr>
              <w:widowControl w:val="0"/>
              <w:spacing w:before="40"/>
              <w:rPr>
                <w:rFonts w:ascii="Calibri" w:hAnsi="Calibri" w:cs="Calibri"/>
                <w:color w:val="1EAA82"/>
                <w:sz w:val="20"/>
                <w:szCs w:val="20"/>
              </w:rPr>
            </w:pPr>
            <w:r w:rsidRPr="00B359BF">
              <w:rPr>
                <w:rFonts w:ascii="Calibri" w:hAnsi="Calibri" w:cs="Calibri"/>
                <w:b/>
                <w:bCs/>
                <w:color w:val="1EAA82"/>
                <w:sz w:val="20"/>
                <w:szCs w:val="20"/>
              </w:rPr>
              <w:t xml:space="preserve">Lech Kucharski, </w:t>
            </w:r>
            <w:r w:rsidRPr="00B359BF">
              <w:rPr>
                <w:rFonts w:ascii="Calibri" w:hAnsi="Calibri" w:cs="Calibri"/>
                <w:bCs/>
                <w:color w:val="1EAA82"/>
                <w:sz w:val="20"/>
                <w:szCs w:val="20"/>
              </w:rPr>
              <w:t>MPW</w:t>
            </w:r>
          </w:p>
          <w:p w:rsidR="00283CA5" w:rsidRPr="00B359BF" w:rsidRDefault="006B5E2F" w:rsidP="00BE7B5F">
            <w:pPr>
              <w:widowControl w:val="0"/>
              <w:rPr>
                <w:rStyle w:val="Hipercze"/>
                <w:rFonts w:ascii="Calibri" w:hAnsi="Calibri" w:cs="Calibri"/>
                <w:color w:val="1EAA82"/>
                <w:sz w:val="20"/>
                <w:szCs w:val="20"/>
              </w:rPr>
            </w:pPr>
            <w:r>
              <w:rPr>
                <w:rFonts w:ascii="Calibri" w:hAnsi="Calibri" w:cs="Calibri"/>
                <w:color w:val="1EAA82"/>
                <w:sz w:val="20"/>
                <w:szCs w:val="20"/>
                <w:u w:val="single"/>
                <w:lang w:val="en-US"/>
              </w:rPr>
              <w:fldChar w:fldCharType="begin"/>
            </w:r>
            <w:r w:rsidR="00283CA5" w:rsidRPr="00B359BF">
              <w:rPr>
                <w:rFonts w:ascii="Calibri" w:hAnsi="Calibri" w:cs="Calibri"/>
                <w:color w:val="1EAA82"/>
                <w:sz w:val="20"/>
                <w:szCs w:val="20"/>
                <w:u w:val="single"/>
              </w:rPr>
              <w:instrText xml:space="preserve"> HYPERLINK "mailto:lech.kucharski@dmbps.pl" </w:instrText>
            </w:r>
            <w:r>
              <w:rPr>
                <w:rFonts w:ascii="Calibri" w:hAnsi="Calibri" w:cs="Calibri"/>
                <w:color w:val="1EAA82"/>
                <w:sz w:val="20"/>
                <w:szCs w:val="20"/>
                <w:u w:val="single"/>
                <w:lang w:val="en-US"/>
              </w:rPr>
              <w:fldChar w:fldCharType="separate"/>
            </w:r>
            <w:r w:rsidR="00283CA5" w:rsidRPr="00B359BF">
              <w:rPr>
                <w:rStyle w:val="Hipercze"/>
                <w:rFonts w:ascii="Calibri" w:hAnsi="Calibri" w:cs="Calibri"/>
                <w:color w:val="1EAA82"/>
                <w:sz w:val="20"/>
                <w:szCs w:val="20"/>
              </w:rPr>
              <w:t>lech.kucharski@dmbps.pl</w:t>
            </w:r>
          </w:p>
          <w:p w:rsidR="00283CA5" w:rsidRPr="00FA16DE" w:rsidRDefault="006B5E2F" w:rsidP="00BE7B5F">
            <w:pPr>
              <w:rPr>
                <w:rFonts w:ascii="Calibri" w:hAnsi="Calibri" w:cs="Calibri"/>
                <w:color w:val="1EAA82"/>
                <w:sz w:val="20"/>
                <w:szCs w:val="20"/>
              </w:rPr>
            </w:pPr>
            <w:r>
              <w:rPr>
                <w:rFonts w:ascii="Calibri" w:hAnsi="Calibri" w:cs="Calibri"/>
                <w:color w:val="1EAA82"/>
                <w:sz w:val="20"/>
                <w:szCs w:val="20"/>
                <w:u w:val="single"/>
                <w:lang w:val="en-US"/>
              </w:rPr>
              <w:fldChar w:fldCharType="end"/>
            </w:r>
            <w:r w:rsidR="00283CA5" w:rsidRPr="00FA16DE">
              <w:rPr>
                <w:rFonts w:ascii="Calibri" w:hAnsi="Calibri" w:cs="Calibri"/>
                <w:color w:val="1EAA82"/>
                <w:sz w:val="20"/>
                <w:szCs w:val="20"/>
              </w:rPr>
              <w:t>tel.: (22) 53 95</w:t>
            </w:r>
            <w:r w:rsidR="00283CA5">
              <w:rPr>
                <w:rFonts w:ascii="Calibri" w:hAnsi="Calibri" w:cs="Calibri"/>
                <w:color w:val="1EAA82"/>
                <w:sz w:val="20"/>
                <w:szCs w:val="20"/>
              </w:rPr>
              <w:t> 522</w:t>
            </w:r>
          </w:p>
          <w:p w:rsidR="00283CA5" w:rsidRPr="00FA16DE" w:rsidRDefault="00283CA5" w:rsidP="00BE7B5F">
            <w:pPr>
              <w:widowControl w:val="0"/>
              <w:spacing w:before="40"/>
              <w:rPr>
                <w:rFonts w:ascii="Calibri" w:hAnsi="Calibri" w:cs="Calibri"/>
                <w:color w:val="1EAA82"/>
                <w:sz w:val="20"/>
                <w:szCs w:val="20"/>
              </w:rPr>
            </w:pPr>
            <w:r w:rsidRPr="00FA16DE">
              <w:rPr>
                <w:rFonts w:ascii="Calibri" w:hAnsi="Calibri" w:cs="Calibri"/>
                <w:b/>
                <w:bCs/>
                <w:color w:val="1EAA82"/>
                <w:sz w:val="20"/>
                <w:szCs w:val="20"/>
              </w:rPr>
              <w:t>Bartosz Szaniawski</w:t>
            </w:r>
          </w:p>
          <w:p w:rsidR="00283CA5" w:rsidRPr="00831112" w:rsidRDefault="006B5E2F" w:rsidP="00BE7B5F">
            <w:pPr>
              <w:widowControl w:val="0"/>
              <w:rPr>
                <w:rStyle w:val="Hipercze"/>
                <w:rFonts w:ascii="Calibri" w:hAnsi="Calibri" w:cs="Calibri"/>
                <w:color w:val="1EAA82"/>
                <w:sz w:val="20"/>
                <w:szCs w:val="20"/>
              </w:rPr>
            </w:pPr>
            <w:r w:rsidRPr="00831112">
              <w:rPr>
                <w:rStyle w:val="Hipercze"/>
                <w:color w:val="1EAA82"/>
              </w:rPr>
              <w:fldChar w:fldCharType="begin"/>
            </w:r>
            <w:r w:rsidR="00283CA5" w:rsidRPr="00831112">
              <w:rPr>
                <w:rStyle w:val="Hipercze"/>
                <w:color w:val="1EAA82"/>
              </w:rPr>
              <w:instrText xml:space="preserve"> HYPERLINK "mailto:bartosz.szaniawski@dmbps.pl" </w:instrText>
            </w:r>
            <w:r w:rsidRPr="00831112">
              <w:rPr>
                <w:rStyle w:val="Hipercze"/>
                <w:color w:val="1EAA82"/>
              </w:rPr>
              <w:fldChar w:fldCharType="separate"/>
            </w:r>
            <w:r w:rsidR="00283CA5" w:rsidRPr="00831112">
              <w:rPr>
                <w:rStyle w:val="Hipercze"/>
                <w:rFonts w:ascii="Calibri" w:hAnsi="Calibri" w:cs="Calibri"/>
                <w:color w:val="1EAA82"/>
                <w:sz w:val="20"/>
                <w:szCs w:val="20"/>
              </w:rPr>
              <w:t>bartosz.szaniawski@dmbps.pl</w:t>
            </w:r>
          </w:p>
          <w:p w:rsidR="00283CA5" w:rsidRPr="00FA16DE" w:rsidRDefault="006B5E2F" w:rsidP="00BE7B5F">
            <w:pPr>
              <w:rPr>
                <w:rFonts w:ascii="Calibri" w:hAnsi="Calibri" w:cs="Calibri"/>
                <w:color w:val="1EAA82"/>
                <w:sz w:val="20"/>
                <w:szCs w:val="20"/>
              </w:rPr>
            </w:pPr>
            <w:r w:rsidRPr="00831112">
              <w:rPr>
                <w:rStyle w:val="Hipercze"/>
                <w:color w:val="1EAA82"/>
              </w:rPr>
              <w:fldChar w:fldCharType="end"/>
            </w:r>
            <w:r w:rsidR="00283CA5" w:rsidRPr="00FA16DE">
              <w:rPr>
                <w:rFonts w:ascii="Calibri" w:hAnsi="Calibri" w:cs="Calibri"/>
                <w:color w:val="1EAA82"/>
                <w:sz w:val="20"/>
                <w:szCs w:val="20"/>
              </w:rPr>
              <w:t>tel.: (22) 53 95 525</w:t>
            </w:r>
          </w:p>
          <w:p w:rsidR="00283CA5" w:rsidRPr="00FA16DE" w:rsidRDefault="00283CA5" w:rsidP="00BE7B5F">
            <w:pPr>
              <w:widowControl w:val="0"/>
              <w:spacing w:before="40"/>
              <w:rPr>
                <w:rFonts w:ascii="Calibri" w:hAnsi="Calibri" w:cs="Calibri"/>
                <w:b/>
                <w:bCs/>
                <w:color w:val="1EAA82"/>
                <w:sz w:val="20"/>
                <w:szCs w:val="20"/>
              </w:rPr>
            </w:pPr>
            <w:r>
              <w:rPr>
                <w:rFonts w:ascii="Calibri" w:hAnsi="Calibri" w:cs="Calibri"/>
                <w:b/>
                <w:bCs/>
                <w:color w:val="1EAA82"/>
                <w:sz w:val="20"/>
                <w:szCs w:val="20"/>
              </w:rPr>
              <w:t>Krzysztof Solus</w:t>
            </w:r>
            <w:r w:rsidRPr="00EA4F7E">
              <w:rPr>
                <w:rFonts w:ascii="Calibri" w:hAnsi="Calibri" w:cs="Calibri"/>
                <w:bCs/>
                <w:color w:val="1EAA82"/>
                <w:sz w:val="20"/>
                <w:szCs w:val="20"/>
              </w:rPr>
              <w:t>,</w:t>
            </w:r>
            <w:r>
              <w:rPr>
                <w:rFonts w:ascii="Calibri" w:hAnsi="Calibri" w:cs="Calibri"/>
                <w:b/>
                <w:bCs/>
                <w:color w:val="1EAA82"/>
                <w:sz w:val="20"/>
                <w:szCs w:val="20"/>
              </w:rPr>
              <w:t xml:space="preserve"> </w:t>
            </w:r>
            <w:r w:rsidRPr="00EA4F7E">
              <w:rPr>
                <w:rFonts w:ascii="Calibri" w:hAnsi="Calibri" w:cs="Calibri"/>
                <w:bCs/>
                <w:color w:val="1EAA82"/>
                <w:sz w:val="20"/>
                <w:szCs w:val="20"/>
              </w:rPr>
              <w:t>MPW</w:t>
            </w:r>
          </w:p>
          <w:p w:rsidR="00283CA5" w:rsidRPr="008C25AF" w:rsidRDefault="006B5E2F" w:rsidP="00BE7B5F">
            <w:pPr>
              <w:rPr>
                <w:rStyle w:val="Hipercze"/>
                <w:color w:val="1EAA82"/>
                <w:sz w:val="20"/>
                <w:szCs w:val="20"/>
              </w:rPr>
            </w:pPr>
            <w:hyperlink r:id="rId62" w:history="1">
              <w:r w:rsidR="00283CA5" w:rsidRPr="008C25AF">
                <w:rPr>
                  <w:rStyle w:val="Hipercze"/>
                  <w:rFonts w:ascii="Calibri" w:hAnsi="Calibri" w:cs="Calibri"/>
                  <w:color w:val="1EAA82"/>
                  <w:sz w:val="20"/>
                  <w:szCs w:val="20"/>
                </w:rPr>
                <w:t>krzysztof.solus@dmbps.pl</w:t>
              </w:r>
            </w:hyperlink>
          </w:p>
          <w:p w:rsidR="00283CA5" w:rsidRPr="00FA16DE" w:rsidRDefault="00283CA5" w:rsidP="00BE7B5F">
            <w:pPr>
              <w:rPr>
                <w:rFonts w:ascii="Calibri" w:hAnsi="Calibri" w:cs="Calibri"/>
                <w:color w:val="1EAA82"/>
                <w:sz w:val="20"/>
                <w:szCs w:val="20"/>
              </w:rPr>
            </w:pPr>
            <w:r w:rsidRPr="00FA16DE">
              <w:rPr>
                <w:rFonts w:ascii="Calibri" w:hAnsi="Calibri" w:cs="Calibri"/>
                <w:color w:val="1EAA82"/>
                <w:sz w:val="20"/>
                <w:szCs w:val="20"/>
              </w:rPr>
              <w:t>tel.: (22) 53 95</w:t>
            </w:r>
            <w:r>
              <w:rPr>
                <w:rFonts w:ascii="Calibri" w:hAnsi="Calibri" w:cs="Calibri"/>
                <w:color w:val="1EAA82"/>
                <w:sz w:val="20"/>
                <w:szCs w:val="20"/>
              </w:rPr>
              <w:t> </w:t>
            </w:r>
            <w:r w:rsidRPr="00FA16DE">
              <w:rPr>
                <w:rFonts w:ascii="Calibri" w:hAnsi="Calibri" w:cs="Calibri"/>
                <w:color w:val="1EAA82"/>
                <w:sz w:val="20"/>
                <w:szCs w:val="20"/>
              </w:rPr>
              <w:t>559</w:t>
            </w:r>
          </w:p>
          <w:p w:rsidR="00283CA5" w:rsidRPr="00FA16DE" w:rsidRDefault="00283CA5" w:rsidP="00BE7B5F">
            <w:pPr>
              <w:widowControl w:val="0"/>
              <w:rPr>
                <w:rFonts w:ascii="Calibri" w:hAnsi="Calibri" w:cs="Calibri"/>
                <w:sz w:val="20"/>
                <w:szCs w:val="20"/>
              </w:rPr>
            </w:pPr>
          </w:p>
        </w:tc>
      </w:tr>
    </w:tbl>
    <w:p w:rsidR="00A47ADB" w:rsidRDefault="00A47ADB" w:rsidP="00A47ADB">
      <w:pPr>
        <w:tabs>
          <w:tab w:val="left" w:pos="6960"/>
        </w:tabs>
        <w:ind w:left="-540"/>
        <w:rPr>
          <w:rFonts w:asciiTheme="minorHAnsi" w:hAnsiTheme="minorHAnsi" w:cstheme="minorHAnsi"/>
          <w:color w:val="1EAA82"/>
          <w:sz w:val="15"/>
          <w:szCs w:val="15"/>
        </w:rPr>
      </w:pPr>
    </w:p>
    <w:p w:rsidR="00A47ADB" w:rsidRPr="00FA16DE" w:rsidRDefault="00A47ADB" w:rsidP="00A47ADB">
      <w:pPr>
        <w:tabs>
          <w:tab w:val="left" w:pos="6960"/>
        </w:tabs>
        <w:ind w:left="-540"/>
        <w:rPr>
          <w:rFonts w:asciiTheme="minorHAnsi" w:hAnsiTheme="minorHAnsi" w:cstheme="minorHAnsi"/>
          <w:color w:val="1EAA82"/>
          <w:sz w:val="15"/>
          <w:szCs w:val="15"/>
        </w:rPr>
      </w:pPr>
      <w:r w:rsidRPr="00FA16DE">
        <w:rPr>
          <w:rFonts w:asciiTheme="minorHAnsi" w:hAnsiTheme="minorHAnsi" w:cstheme="minorHAnsi"/>
          <w:color w:val="1EAA82"/>
          <w:sz w:val="15"/>
          <w:szCs w:val="15"/>
        </w:rPr>
        <w:t>Wyjaśnienia dotyczące stosowanej terminologii fachowej i wskaźników:</w:t>
      </w:r>
    </w:p>
    <w:p w:rsidR="008C6014" w:rsidRDefault="00A4797E" w:rsidP="008C6014">
      <w:pPr>
        <w:autoSpaceDE w:val="0"/>
        <w:autoSpaceDN w:val="0"/>
        <w:adjustRightInd w:val="0"/>
        <w:ind w:left="-540" w:right="-60"/>
        <w:jc w:val="both"/>
        <w:rPr>
          <w:rFonts w:asciiTheme="minorHAnsi" w:hAnsiTheme="minorHAnsi" w:cstheme="minorHAnsi"/>
          <w:bCs/>
          <w:sz w:val="14"/>
          <w:szCs w:val="14"/>
        </w:rPr>
      </w:pPr>
      <w:r>
        <w:rPr>
          <w:rFonts w:asciiTheme="minorHAnsi" w:hAnsiTheme="minorHAnsi" w:cstheme="minorHAnsi"/>
          <w:b/>
          <w:color w:val="1EAA82"/>
          <w:sz w:val="14"/>
          <w:szCs w:val="14"/>
        </w:rPr>
        <w:t>C/I</w:t>
      </w:r>
      <w:r w:rsidR="008C6014" w:rsidRPr="00FA16DE">
        <w:rPr>
          <w:rFonts w:asciiTheme="minorHAnsi" w:hAnsiTheme="minorHAnsi" w:cstheme="minorHAnsi"/>
          <w:color w:val="1EAA82"/>
          <w:sz w:val="14"/>
          <w:szCs w:val="14"/>
        </w:rPr>
        <w:t xml:space="preserve"> </w:t>
      </w:r>
      <w:r w:rsidR="008C6014">
        <w:rPr>
          <w:rFonts w:asciiTheme="minorHAnsi" w:hAnsiTheme="minorHAnsi" w:cstheme="minorHAnsi"/>
          <w:bCs/>
          <w:sz w:val="14"/>
          <w:szCs w:val="14"/>
        </w:rPr>
        <w:t xml:space="preserve">– </w:t>
      </w:r>
      <w:r>
        <w:rPr>
          <w:rFonts w:asciiTheme="minorHAnsi" w:hAnsiTheme="minorHAnsi" w:cstheme="minorHAnsi"/>
          <w:bCs/>
          <w:sz w:val="14"/>
          <w:szCs w:val="14"/>
        </w:rPr>
        <w:t>relacja kosztów do dochodów</w:t>
      </w:r>
      <w:r w:rsidR="008C6014" w:rsidRPr="00FA16DE">
        <w:rPr>
          <w:rFonts w:asciiTheme="minorHAnsi" w:hAnsiTheme="minorHAnsi" w:cstheme="minorHAnsi"/>
          <w:bCs/>
          <w:sz w:val="14"/>
          <w:szCs w:val="14"/>
        </w:rPr>
        <w:t>.</w:t>
      </w:r>
    </w:p>
    <w:p w:rsidR="00F264DB" w:rsidRDefault="00F264DB" w:rsidP="008C6014">
      <w:pPr>
        <w:autoSpaceDE w:val="0"/>
        <w:autoSpaceDN w:val="0"/>
        <w:adjustRightInd w:val="0"/>
        <w:ind w:left="-540" w:right="-60"/>
        <w:jc w:val="both"/>
        <w:rPr>
          <w:rFonts w:asciiTheme="minorHAnsi" w:hAnsiTheme="minorHAnsi" w:cstheme="minorHAnsi"/>
          <w:bCs/>
          <w:sz w:val="14"/>
          <w:szCs w:val="14"/>
        </w:rPr>
      </w:pPr>
      <w:r>
        <w:rPr>
          <w:rFonts w:asciiTheme="minorHAnsi" w:hAnsiTheme="minorHAnsi" w:cstheme="minorHAnsi"/>
          <w:b/>
          <w:color w:val="1EAA82"/>
          <w:sz w:val="14"/>
          <w:szCs w:val="14"/>
        </w:rPr>
        <w:t xml:space="preserve">Jakość portfela kredytowego </w:t>
      </w:r>
      <w:r>
        <w:rPr>
          <w:rFonts w:asciiTheme="minorHAnsi" w:hAnsiTheme="minorHAnsi" w:cstheme="minorHAnsi"/>
          <w:bCs/>
          <w:sz w:val="14"/>
          <w:szCs w:val="14"/>
        </w:rPr>
        <w:t>– udział kredytów zagrożonych w strukturze kredytów ogółem.</w:t>
      </w:r>
    </w:p>
    <w:p w:rsidR="004850AB" w:rsidRDefault="004850AB" w:rsidP="008C6014">
      <w:pPr>
        <w:autoSpaceDE w:val="0"/>
        <w:autoSpaceDN w:val="0"/>
        <w:adjustRightInd w:val="0"/>
        <w:ind w:left="-540" w:right="-60"/>
        <w:jc w:val="both"/>
        <w:rPr>
          <w:rFonts w:asciiTheme="minorHAnsi" w:hAnsiTheme="minorHAnsi" w:cstheme="minorHAnsi"/>
          <w:bCs/>
          <w:sz w:val="14"/>
          <w:szCs w:val="14"/>
        </w:rPr>
      </w:pPr>
      <w:r>
        <w:rPr>
          <w:rFonts w:asciiTheme="minorHAnsi" w:hAnsiTheme="minorHAnsi" w:cstheme="minorHAnsi"/>
          <w:b/>
          <w:color w:val="1EAA82"/>
          <w:sz w:val="14"/>
          <w:szCs w:val="14"/>
        </w:rPr>
        <w:t>Luka płynności krótkoterminowej</w:t>
      </w:r>
      <w:r w:rsidRPr="00FA16DE">
        <w:rPr>
          <w:rFonts w:asciiTheme="minorHAnsi" w:hAnsiTheme="minorHAnsi" w:cstheme="minorHAnsi"/>
          <w:color w:val="1EAA82"/>
          <w:sz w:val="14"/>
          <w:szCs w:val="14"/>
        </w:rPr>
        <w:t xml:space="preserve"> </w:t>
      </w:r>
      <w:r>
        <w:rPr>
          <w:rFonts w:asciiTheme="minorHAnsi" w:hAnsiTheme="minorHAnsi" w:cstheme="minorHAnsi"/>
          <w:bCs/>
          <w:sz w:val="14"/>
          <w:szCs w:val="14"/>
        </w:rPr>
        <w:t>– różnica pomiędzy sumą wartości podstawowej i uzupełniającej rezerwy płynności a wartością środków obcych niestabilnych.</w:t>
      </w:r>
    </w:p>
    <w:p w:rsidR="004850AB" w:rsidRDefault="004850AB" w:rsidP="008C6014">
      <w:pPr>
        <w:autoSpaceDE w:val="0"/>
        <w:autoSpaceDN w:val="0"/>
        <w:adjustRightInd w:val="0"/>
        <w:ind w:left="-540" w:right="-60"/>
        <w:jc w:val="both"/>
        <w:rPr>
          <w:rFonts w:asciiTheme="minorHAnsi" w:hAnsiTheme="minorHAnsi" w:cstheme="minorHAnsi"/>
          <w:bCs/>
          <w:sz w:val="14"/>
          <w:szCs w:val="14"/>
        </w:rPr>
      </w:pPr>
      <w:r>
        <w:rPr>
          <w:rFonts w:asciiTheme="minorHAnsi" w:hAnsiTheme="minorHAnsi" w:cstheme="minorHAnsi"/>
          <w:b/>
          <w:color w:val="1EAA82"/>
          <w:sz w:val="14"/>
          <w:szCs w:val="14"/>
        </w:rPr>
        <w:t xml:space="preserve">Marża odsetkowa netto </w:t>
      </w:r>
      <w:r>
        <w:rPr>
          <w:rFonts w:asciiTheme="minorHAnsi" w:hAnsiTheme="minorHAnsi" w:cstheme="minorHAnsi"/>
          <w:bCs/>
          <w:sz w:val="14"/>
          <w:szCs w:val="14"/>
        </w:rPr>
        <w:t>– wynik odsetkowy w relacji do średniego stanu aktywów</w:t>
      </w:r>
      <w:r w:rsidR="00D61A65">
        <w:rPr>
          <w:rFonts w:asciiTheme="minorHAnsi" w:hAnsiTheme="minorHAnsi" w:cstheme="minorHAnsi"/>
          <w:bCs/>
          <w:sz w:val="14"/>
          <w:szCs w:val="14"/>
        </w:rPr>
        <w:t xml:space="preserve"> odsetkowych.</w:t>
      </w:r>
    </w:p>
    <w:p w:rsidR="008767F4" w:rsidRPr="00FA16DE" w:rsidRDefault="008767F4" w:rsidP="008767F4">
      <w:pPr>
        <w:autoSpaceDE w:val="0"/>
        <w:autoSpaceDN w:val="0"/>
        <w:adjustRightInd w:val="0"/>
        <w:ind w:left="-540" w:right="-60"/>
        <w:jc w:val="both"/>
        <w:rPr>
          <w:rFonts w:asciiTheme="minorHAnsi" w:hAnsiTheme="minorHAnsi" w:cstheme="minorHAnsi"/>
          <w:color w:val="1EAA82"/>
          <w:sz w:val="14"/>
          <w:szCs w:val="14"/>
        </w:rPr>
      </w:pPr>
      <w:r>
        <w:rPr>
          <w:rFonts w:asciiTheme="minorHAnsi" w:hAnsiTheme="minorHAnsi" w:cstheme="minorHAnsi"/>
          <w:b/>
          <w:color w:val="1EAA82"/>
          <w:sz w:val="14"/>
          <w:szCs w:val="14"/>
        </w:rPr>
        <w:t xml:space="preserve">Wewnętrzne ratingi inwestycyjne </w:t>
      </w:r>
      <w:r>
        <w:rPr>
          <w:rFonts w:asciiTheme="minorHAnsi" w:hAnsiTheme="minorHAnsi" w:cstheme="minorHAnsi"/>
          <w:color w:val="1EAA82"/>
          <w:sz w:val="14"/>
          <w:szCs w:val="14"/>
        </w:rPr>
        <w:t xml:space="preserve">– </w:t>
      </w:r>
      <w:r w:rsidRPr="00C30A99">
        <w:rPr>
          <w:rFonts w:asciiTheme="minorHAnsi" w:hAnsiTheme="minorHAnsi" w:cstheme="minorHAnsi"/>
          <w:sz w:val="14"/>
          <w:szCs w:val="14"/>
        </w:rPr>
        <w:t xml:space="preserve">zostały wyliczone </w:t>
      </w:r>
      <w:r>
        <w:rPr>
          <w:rFonts w:asciiTheme="minorHAnsi" w:hAnsiTheme="minorHAnsi" w:cstheme="minorHAnsi"/>
          <w:sz w:val="14"/>
          <w:szCs w:val="14"/>
        </w:rPr>
        <w:t>na podstawie 3 wskaźników: współczynnika wypłacalności, udziale kredytów zagrożonych w strukturze kredytów ogółem i relacji kosztów do dochodów banku. Maksymalna wartość wewnętrznego ratingu wynosi 10</w:t>
      </w:r>
      <w:r w:rsidR="00D56560">
        <w:rPr>
          <w:rFonts w:asciiTheme="minorHAnsi" w:hAnsiTheme="minorHAnsi" w:cstheme="minorHAnsi"/>
          <w:sz w:val="14"/>
          <w:szCs w:val="14"/>
        </w:rPr>
        <w:t xml:space="preserve"> punktów</w:t>
      </w:r>
      <w:r>
        <w:rPr>
          <w:rFonts w:asciiTheme="minorHAnsi" w:hAnsiTheme="minorHAnsi" w:cstheme="minorHAnsi"/>
          <w:sz w:val="14"/>
          <w:szCs w:val="14"/>
        </w:rPr>
        <w:t>. Podwyższone ryzyko inwestycyjne występuje wówczas, gdy wskaźnik znajduje się poniżej 5, w przedziale 5-8 ryzyko jest umiarkowane, a powyżej tego poziomu ryzyko uznawane jest za niskie.</w:t>
      </w:r>
    </w:p>
    <w:p w:rsidR="00A4797E" w:rsidRPr="00FA16DE" w:rsidRDefault="00A4797E" w:rsidP="00A4797E">
      <w:pPr>
        <w:autoSpaceDE w:val="0"/>
        <w:autoSpaceDN w:val="0"/>
        <w:adjustRightInd w:val="0"/>
        <w:ind w:left="-540" w:right="-60"/>
        <w:jc w:val="both"/>
        <w:rPr>
          <w:rFonts w:asciiTheme="minorHAnsi" w:hAnsiTheme="minorHAnsi" w:cstheme="minorHAnsi"/>
          <w:color w:val="1EAA82"/>
          <w:sz w:val="14"/>
          <w:szCs w:val="14"/>
        </w:rPr>
      </w:pPr>
      <w:r>
        <w:rPr>
          <w:rFonts w:asciiTheme="minorHAnsi" w:hAnsiTheme="minorHAnsi" w:cstheme="minorHAnsi"/>
          <w:b/>
          <w:color w:val="1EAA82"/>
          <w:sz w:val="14"/>
          <w:szCs w:val="14"/>
        </w:rPr>
        <w:t>Wskaźnik wypłacalności</w:t>
      </w:r>
      <w:r w:rsidRPr="00FA16DE">
        <w:rPr>
          <w:rFonts w:asciiTheme="minorHAnsi" w:hAnsiTheme="minorHAnsi" w:cstheme="minorHAnsi"/>
          <w:b/>
          <w:color w:val="1EAA82"/>
          <w:sz w:val="14"/>
          <w:szCs w:val="14"/>
        </w:rPr>
        <w:t xml:space="preserve"> </w:t>
      </w:r>
      <w:r w:rsidRPr="00FA16DE">
        <w:rPr>
          <w:rFonts w:asciiTheme="minorHAnsi" w:hAnsiTheme="minorHAnsi" w:cstheme="minorHAnsi"/>
          <w:bCs/>
          <w:sz w:val="14"/>
          <w:szCs w:val="14"/>
        </w:rPr>
        <w:t>–</w:t>
      </w:r>
      <w:r>
        <w:rPr>
          <w:rFonts w:asciiTheme="minorHAnsi" w:hAnsiTheme="minorHAnsi" w:cstheme="minorHAnsi"/>
          <w:bCs/>
          <w:sz w:val="14"/>
          <w:szCs w:val="14"/>
        </w:rPr>
        <w:t>stosunek funduszy własnych do aktywów ważonych ryzykiem</w:t>
      </w:r>
      <w:r w:rsidR="00D61A65">
        <w:rPr>
          <w:rFonts w:asciiTheme="minorHAnsi" w:hAnsiTheme="minorHAnsi" w:cstheme="minorHAnsi"/>
          <w:bCs/>
          <w:sz w:val="14"/>
          <w:szCs w:val="14"/>
        </w:rPr>
        <w:t xml:space="preserve"> (wzór: fundusze własne/kapitał wewnętrzny*8)</w:t>
      </w:r>
    </w:p>
    <w:p w:rsidR="00A4797E" w:rsidRPr="00FA16DE" w:rsidRDefault="00A4797E" w:rsidP="008C6014">
      <w:pPr>
        <w:autoSpaceDE w:val="0"/>
        <w:autoSpaceDN w:val="0"/>
        <w:adjustRightInd w:val="0"/>
        <w:ind w:left="-540" w:right="-60"/>
        <w:jc w:val="both"/>
        <w:rPr>
          <w:rFonts w:asciiTheme="minorHAnsi" w:hAnsiTheme="minorHAnsi" w:cstheme="minorHAnsi"/>
          <w:color w:val="1EAA82"/>
          <w:sz w:val="14"/>
          <w:szCs w:val="14"/>
        </w:rPr>
      </w:pPr>
    </w:p>
    <w:p w:rsidR="00A47ADB" w:rsidRPr="00FA16DE" w:rsidRDefault="00A47ADB" w:rsidP="00A47ADB">
      <w:pPr>
        <w:autoSpaceDE w:val="0"/>
        <w:autoSpaceDN w:val="0"/>
        <w:adjustRightInd w:val="0"/>
        <w:ind w:right="-60"/>
        <w:jc w:val="both"/>
        <w:rPr>
          <w:rFonts w:asciiTheme="minorHAnsi" w:hAnsiTheme="minorHAnsi" w:cstheme="minorHAnsi"/>
          <w:color w:val="1EAA82"/>
          <w:sz w:val="6"/>
          <w:szCs w:val="6"/>
        </w:rPr>
      </w:pPr>
    </w:p>
    <w:p w:rsidR="00A47ADB" w:rsidRPr="00FA16DE" w:rsidRDefault="00A47ADB" w:rsidP="00A47ADB">
      <w:pPr>
        <w:autoSpaceDE w:val="0"/>
        <w:autoSpaceDN w:val="0"/>
        <w:adjustRightInd w:val="0"/>
        <w:ind w:left="-540"/>
        <w:jc w:val="both"/>
        <w:rPr>
          <w:rFonts w:asciiTheme="minorHAnsi" w:hAnsiTheme="minorHAnsi" w:cstheme="minorHAnsi"/>
          <w:i/>
          <w:iCs/>
          <w:color w:val="1EAA82"/>
          <w:sz w:val="13"/>
          <w:szCs w:val="13"/>
        </w:rPr>
      </w:pPr>
      <w:r>
        <w:rPr>
          <w:rFonts w:asciiTheme="minorHAnsi" w:hAnsiTheme="minorHAnsi" w:cstheme="minorHAnsi"/>
          <w:i/>
          <w:iCs/>
          <w:color w:val="1EAA82"/>
          <w:sz w:val="13"/>
          <w:szCs w:val="13"/>
        </w:rPr>
        <w:t>„</w:t>
      </w:r>
      <w:r w:rsidR="00073CF2">
        <w:rPr>
          <w:rFonts w:asciiTheme="minorHAnsi" w:hAnsiTheme="minorHAnsi" w:cstheme="minorHAnsi"/>
          <w:i/>
          <w:iCs/>
          <w:color w:val="1EAA82"/>
          <w:sz w:val="13"/>
          <w:szCs w:val="13"/>
        </w:rPr>
        <w:t xml:space="preserve">Teaser </w:t>
      </w:r>
      <w:r w:rsidR="00516F60">
        <w:rPr>
          <w:rFonts w:asciiTheme="minorHAnsi" w:hAnsiTheme="minorHAnsi" w:cstheme="minorHAnsi"/>
          <w:i/>
          <w:iCs/>
          <w:color w:val="1EAA82"/>
          <w:sz w:val="13"/>
          <w:szCs w:val="13"/>
        </w:rPr>
        <w:t>obligacji</w:t>
      </w:r>
      <w:r>
        <w:rPr>
          <w:rFonts w:asciiTheme="minorHAnsi" w:hAnsiTheme="minorHAnsi" w:cstheme="minorHAnsi"/>
          <w:i/>
          <w:iCs/>
          <w:color w:val="1EAA82"/>
          <w:sz w:val="13"/>
          <w:szCs w:val="13"/>
        </w:rPr>
        <w:t>”</w:t>
      </w:r>
      <w:r w:rsidRPr="00FA16DE">
        <w:rPr>
          <w:rFonts w:asciiTheme="minorHAnsi" w:hAnsiTheme="minorHAnsi" w:cstheme="minorHAnsi"/>
          <w:i/>
          <w:iCs/>
          <w:color w:val="1EAA82"/>
          <w:sz w:val="13"/>
          <w:szCs w:val="13"/>
        </w:rPr>
        <w:t xml:space="preserve"> wyraża wiedzę oraz poglądy jej autorów według stanu na dzień sporządzenia niniejszego opracowania.</w:t>
      </w:r>
    </w:p>
    <w:p w:rsidR="00A47ADB" w:rsidRPr="00FA16DE" w:rsidRDefault="00A47ADB" w:rsidP="00A47ADB">
      <w:pPr>
        <w:autoSpaceDE w:val="0"/>
        <w:autoSpaceDN w:val="0"/>
        <w:adjustRightInd w:val="0"/>
        <w:ind w:left="-539"/>
        <w:jc w:val="both"/>
        <w:rPr>
          <w:rFonts w:asciiTheme="minorHAnsi" w:hAnsiTheme="minorHAnsi" w:cstheme="minorHAnsi"/>
          <w:i/>
          <w:iCs/>
          <w:color w:val="1EAA82"/>
          <w:sz w:val="13"/>
          <w:szCs w:val="13"/>
        </w:rPr>
      </w:pPr>
      <w:r w:rsidRPr="00FA16DE">
        <w:rPr>
          <w:rFonts w:asciiTheme="minorHAnsi" w:hAnsiTheme="minorHAnsi" w:cstheme="minorHAnsi"/>
          <w:i/>
          <w:iCs/>
          <w:color w:val="1EAA82"/>
          <w:sz w:val="13"/>
          <w:szCs w:val="13"/>
        </w:rPr>
        <w:t>Materiał został sporządzony z zachowaniem należytej staranności i rzetelności przy zachowaniu zasad metodologicznej poprawności na podstawie ogólnodostępnych informacji, w dniu publikacji opracowania, pozyskanych ze źródeł wiarygodnych dla Domu Maklerskiego Banku BPS S.A. Dom Maklerski Banku BPS S.A. nie gwarantuje ich kompletności i dokładności.</w:t>
      </w:r>
    </w:p>
    <w:p w:rsidR="00A47ADB" w:rsidRPr="00FA16DE" w:rsidRDefault="00A47ADB" w:rsidP="00A47ADB">
      <w:pPr>
        <w:autoSpaceDE w:val="0"/>
        <w:autoSpaceDN w:val="0"/>
        <w:adjustRightInd w:val="0"/>
        <w:ind w:left="-539"/>
        <w:jc w:val="both"/>
        <w:rPr>
          <w:rFonts w:asciiTheme="minorHAnsi" w:hAnsiTheme="minorHAnsi" w:cstheme="minorHAnsi"/>
          <w:i/>
          <w:iCs/>
          <w:color w:val="1EAA82"/>
          <w:sz w:val="13"/>
          <w:szCs w:val="13"/>
        </w:rPr>
      </w:pPr>
      <w:r w:rsidRPr="00FA16DE">
        <w:rPr>
          <w:rFonts w:asciiTheme="minorHAnsi" w:hAnsiTheme="minorHAnsi" w:cstheme="minorHAnsi"/>
          <w:i/>
          <w:iCs/>
          <w:color w:val="1EAA82"/>
          <w:sz w:val="13"/>
          <w:szCs w:val="13"/>
        </w:rPr>
        <w:t>Organem sprawującym nadzór nad działalnością Domu Maklerskiego Banku BPS S.A. jest Komisja Nadzoru Finansowego z siedzibą w Warszawie, przy Placu Powstańców Warszawy 1.</w:t>
      </w:r>
    </w:p>
    <w:p w:rsidR="00A47ADB" w:rsidRPr="00FA16DE" w:rsidRDefault="00A47ADB" w:rsidP="00A47ADB">
      <w:pPr>
        <w:autoSpaceDE w:val="0"/>
        <w:autoSpaceDN w:val="0"/>
        <w:adjustRightInd w:val="0"/>
        <w:ind w:left="-539"/>
        <w:jc w:val="both"/>
        <w:rPr>
          <w:rFonts w:asciiTheme="minorHAnsi" w:hAnsiTheme="minorHAnsi" w:cstheme="minorHAnsi"/>
          <w:i/>
          <w:iCs/>
          <w:color w:val="1EAA82"/>
          <w:sz w:val="13"/>
          <w:szCs w:val="13"/>
        </w:rPr>
      </w:pPr>
      <w:r w:rsidRPr="00FA16DE">
        <w:rPr>
          <w:rFonts w:asciiTheme="minorHAnsi" w:hAnsiTheme="minorHAnsi" w:cstheme="minorHAnsi"/>
          <w:i/>
          <w:iCs/>
          <w:color w:val="1EAA82"/>
          <w:sz w:val="13"/>
          <w:szCs w:val="13"/>
        </w:rPr>
        <w:t>Informacje zawarte w niniejszym raporcie nie stanowi</w:t>
      </w:r>
      <w:r w:rsidRPr="00FA16DE">
        <w:rPr>
          <w:rFonts w:asciiTheme="minorHAnsi" w:eastAsia="Arial,BoldItalic" w:hAnsiTheme="minorHAnsi" w:cstheme="minorHAnsi"/>
          <w:i/>
          <w:iCs/>
          <w:color w:val="1EAA82"/>
          <w:sz w:val="13"/>
          <w:szCs w:val="13"/>
        </w:rPr>
        <w:t xml:space="preserve">ą </w:t>
      </w:r>
      <w:r w:rsidRPr="00FA16DE">
        <w:rPr>
          <w:rFonts w:asciiTheme="minorHAnsi" w:hAnsiTheme="minorHAnsi" w:cstheme="minorHAnsi"/>
          <w:i/>
          <w:iCs/>
          <w:color w:val="1EAA82"/>
          <w:sz w:val="13"/>
          <w:szCs w:val="13"/>
        </w:rPr>
        <w:t>rekomendacji w rozumieniu Rozporz</w:t>
      </w:r>
      <w:r w:rsidRPr="00FA16DE">
        <w:rPr>
          <w:rFonts w:asciiTheme="minorHAnsi" w:eastAsia="Arial,BoldItalic" w:hAnsiTheme="minorHAnsi" w:cstheme="minorHAnsi"/>
          <w:i/>
          <w:iCs/>
          <w:color w:val="1EAA82"/>
          <w:sz w:val="13"/>
          <w:szCs w:val="13"/>
        </w:rPr>
        <w:t>ą</w:t>
      </w:r>
      <w:r w:rsidRPr="00FA16DE">
        <w:rPr>
          <w:rFonts w:asciiTheme="minorHAnsi" w:hAnsiTheme="minorHAnsi" w:cstheme="minorHAnsi"/>
          <w:i/>
          <w:iCs/>
          <w:color w:val="1EAA82"/>
          <w:sz w:val="13"/>
          <w:szCs w:val="13"/>
        </w:rPr>
        <w:t>dzenia Ministra Finansów z 19 pa</w:t>
      </w:r>
      <w:r w:rsidRPr="00FA16DE">
        <w:rPr>
          <w:rFonts w:asciiTheme="minorHAnsi" w:eastAsia="Arial,BoldItalic" w:hAnsiTheme="minorHAnsi" w:cstheme="minorHAnsi"/>
          <w:i/>
          <w:iCs/>
          <w:color w:val="1EAA82"/>
          <w:sz w:val="13"/>
          <w:szCs w:val="13"/>
        </w:rPr>
        <w:t>ź</w:t>
      </w:r>
      <w:r w:rsidRPr="00FA16DE">
        <w:rPr>
          <w:rFonts w:asciiTheme="minorHAnsi" w:hAnsiTheme="minorHAnsi" w:cstheme="minorHAnsi"/>
          <w:i/>
          <w:iCs/>
          <w:color w:val="1EAA82"/>
          <w:sz w:val="13"/>
          <w:szCs w:val="13"/>
        </w:rPr>
        <w:t>dziernika 2005 roku w sprawie informacji stanowi</w:t>
      </w:r>
      <w:r w:rsidRPr="00FA16DE">
        <w:rPr>
          <w:rFonts w:asciiTheme="minorHAnsi" w:eastAsia="Arial,BoldItalic" w:hAnsiTheme="minorHAnsi" w:cstheme="minorHAnsi"/>
          <w:i/>
          <w:iCs/>
          <w:color w:val="1EAA82"/>
          <w:sz w:val="13"/>
          <w:szCs w:val="13"/>
        </w:rPr>
        <w:t>ą</w:t>
      </w:r>
      <w:r w:rsidRPr="00FA16DE">
        <w:rPr>
          <w:rFonts w:asciiTheme="minorHAnsi" w:hAnsiTheme="minorHAnsi" w:cstheme="minorHAnsi"/>
          <w:i/>
          <w:iCs/>
          <w:color w:val="1EAA82"/>
          <w:sz w:val="13"/>
          <w:szCs w:val="13"/>
        </w:rPr>
        <w:t>cych rekomendacje dotycz</w:t>
      </w:r>
      <w:r w:rsidRPr="00FA16DE">
        <w:rPr>
          <w:rFonts w:asciiTheme="minorHAnsi" w:eastAsia="Arial,BoldItalic" w:hAnsiTheme="minorHAnsi" w:cstheme="minorHAnsi"/>
          <w:i/>
          <w:iCs/>
          <w:color w:val="1EAA82"/>
          <w:sz w:val="13"/>
          <w:szCs w:val="13"/>
        </w:rPr>
        <w:t>ą</w:t>
      </w:r>
      <w:r w:rsidRPr="00FA16DE">
        <w:rPr>
          <w:rFonts w:asciiTheme="minorHAnsi" w:hAnsiTheme="minorHAnsi" w:cstheme="minorHAnsi"/>
          <w:i/>
          <w:iCs/>
          <w:color w:val="1EAA82"/>
          <w:sz w:val="13"/>
          <w:szCs w:val="13"/>
        </w:rPr>
        <w:t>ce instrumentów finansowych, ich emitentów lub wystawców (Dz. U. z 19 października 2005 r. Nr 206, poz. 1715).</w:t>
      </w:r>
    </w:p>
    <w:p w:rsidR="00A47ADB" w:rsidRPr="00FA16DE" w:rsidRDefault="00A47ADB" w:rsidP="00A47ADB">
      <w:pPr>
        <w:autoSpaceDE w:val="0"/>
        <w:autoSpaceDN w:val="0"/>
        <w:adjustRightInd w:val="0"/>
        <w:ind w:left="-539"/>
        <w:jc w:val="both"/>
        <w:rPr>
          <w:rFonts w:asciiTheme="minorHAnsi" w:hAnsiTheme="minorHAnsi" w:cstheme="minorHAnsi"/>
          <w:i/>
          <w:iCs/>
          <w:color w:val="1EAA82"/>
          <w:sz w:val="13"/>
          <w:szCs w:val="13"/>
        </w:rPr>
      </w:pPr>
      <w:r w:rsidRPr="00FA16DE">
        <w:rPr>
          <w:rFonts w:asciiTheme="minorHAnsi" w:hAnsiTheme="minorHAnsi" w:cstheme="minorHAnsi"/>
          <w:i/>
          <w:iCs/>
          <w:color w:val="1EAA82"/>
          <w:sz w:val="13"/>
          <w:szCs w:val="13"/>
        </w:rPr>
        <w:t>DM Banku BPS SA nie ponosi odpowiedzialno</w:t>
      </w:r>
      <w:r w:rsidRPr="00FA16DE">
        <w:rPr>
          <w:rFonts w:asciiTheme="minorHAnsi" w:eastAsia="Arial,BoldItalic" w:hAnsiTheme="minorHAnsi" w:cstheme="minorHAnsi"/>
          <w:i/>
          <w:iCs/>
          <w:color w:val="1EAA82"/>
          <w:sz w:val="13"/>
          <w:szCs w:val="13"/>
        </w:rPr>
        <w:t>ś</w:t>
      </w:r>
      <w:r w:rsidRPr="00FA16DE">
        <w:rPr>
          <w:rFonts w:asciiTheme="minorHAnsi" w:hAnsiTheme="minorHAnsi" w:cstheme="minorHAnsi"/>
          <w:i/>
          <w:iCs/>
          <w:color w:val="1EAA82"/>
          <w:sz w:val="13"/>
          <w:szCs w:val="13"/>
        </w:rPr>
        <w:t>ci za decyzje inwestycyjne podj</w:t>
      </w:r>
      <w:r w:rsidRPr="00FA16DE">
        <w:rPr>
          <w:rFonts w:asciiTheme="minorHAnsi" w:eastAsia="Arial,BoldItalic" w:hAnsiTheme="minorHAnsi" w:cstheme="minorHAnsi"/>
          <w:i/>
          <w:iCs/>
          <w:color w:val="1EAA82"/>
          <w:sz w:val="13"/>
          <w:szCs w:val="13"/>
        </w:rPr>
        <w:t>ę</w:t>
      </w:r>
      <w:r w:rsidRPr="00FA16DE">
        <w:rPr>
          <w:rFonts w:asciiTheme="minorHAnsi" w:hAnsiTheme="minorHAnsi" w:cstheme="minorHAnsi"/>
          <w:i/>
          <w:iCs/>
          <w:color w:val="1EAA82"/>
          <w:sz w:val="13"/>
          <w:szCs w:val="13"/>
        </w:rPr>
        <w:t>te na podstawie niniejszego opracowania ani za szkody poniesione w wyniku tych decyzji inwestycyjnych.</w:t>
      </w:r>
    </w:p>
    <w:p w:rsidR="00A47ADB" w:rsidRPr="00FA16DE" w:rsidRDefault="00A47ADB" w:rsidP="00A47ADB">
      <w:pPr>
        <w:autoSpaceDE w:val="0"/>
        <w:autoSpaceDN w:val="0"/>
        <w:adjustRightInd w:val="0"/>
        <w:ind w:left="-539"/>
        <w:jc w:val="both"/>
        <w:rPr>
          <w:rFonts w:asciiTheme="minorHAnsi" w:hAnsiTheme="minorHAnsi" w:cstheme="minorHAnsi"/>
          <w:i/>
          <w:iCs/>
          <w:color w:val="1EAA82"/>
          <w:sz w:val="13"/>
          <w:szCs w:val="13"/>
        </w:rPr>
      </w:pPr>
    </w:p>
    <w:p w:rsidR="00AA4011" w:rsidRPr="007B3B0A" w:rsidRDefault="00A47ADB" w:rsidP="007B3B0A">
      <w:pPr>
        <w:autoSpaceDE w:val="0"/>
        <w:autoSpaceDN w:val="0"/>
        <w:adjustRightInd w:val="0"/>
        <w:ind w:left="-539" w:right="-60"/>
        <w:jc w:val="both"/>
        <w:rPr>
          <w:rFonts w:asciiTheme="minorHAnsi" w:hAnsiTheme="minorHAnsi" w:cstheme="minorHAnsi"/>
          <w:i/>
          <w:iCs/>
          <w:color w:val="1EAA82"/>
          <w:sz w:val="13"/>
          <w:szCs w:val="13"/>
        </w:rPr>
      </w:pPr>
      <w:r w:rsidRPr="00FA16DE">
        <w:rPr>
          <w:rFonts w:asciiTheme="minorHAnsi" w:hAnsiTheme="minorHAnsi" w:cstheme="minorHAnsi"/>
          <w:i/>
          <w:iCs/>
          <w:color w:val="1EAA82"/>
          <w:sz w:val="13"/>
          <w:szCs w:val="13"/>
        </w:rPr>
        <w:t xml:space="preserve">Powielanie bądź publikowanie w jakiejkolwiek formie niniejszego opracowania, lub jego części, oraz zwartych w nim zaleceń, oraz wykorzystywanie materiału do własnych opracowań celem publikacji, bez pisemnej zgody DM Banku BPS S.A. jest zabronione. Niniejsze opracowanie stanowi publikację handlową i jest prawnie chronione zgodnie z Ustawą z 4 lutego 1994 r. o prawie autorskim i prawach pokrewnych (Dz. U. 1994 nr 24 poz. 83 z późn. zm.). </w:t>
      </w:r>
      <w:r w:rsidRPr="00FA16DE">
        <w:rPr>
          <w:rFonts w:asciiTheme="minorHAnsi" w:eastAsia="Arial,BoldItalic" w:hAnsiTheme="minorHAnsi" w:cstheme="minorHAnsi"/>
          <w:i/>
          <w:iCs/>
          <w:color w:val="1EAA82"/>
          <w:sz w:val="13"/>
          <w:szCs w:val="13"/>
        </w:rPr>
        <w:t xml:space="preserve">Jest prawdopodobne, iż DM Banku BPS S.A. świadczył, świadczy lub będzie świadczył usługi na rzecz przedsiębiorców i innych podmiotów wymienionych w niniejszym opracowaniu.DM Banku BPS S.A., jego akcjonariusze i pracownicy mogą posiadać długie lub krótkie pozycje w akcjach emitentów lub innych instrumentach finansowych powiązanych z akcjami emitentów </w:t>
      </w:r>
      <w:r w:rsidRPr="00FA16DE">
        <w:rPr>
          <w:rFonts w:asciiTheme="minorHAnsi" w:hAnsiTheme="minorHAnsi" w:cstheme="minorHAnsi"/>
          <w:i/>
          <w:iCs/>
          <w:color w:val="1EAA82"/>
          <w:sz w:val="13"/>
          <w:szCs w:val="13"/>
        </w:rPr>
        <w:t>wymienionych w opracowaniu.</w:t>
      </w:r>
    </w:p>
    <w:sectPr w:rsidR="00AA4011" w:rsidRPr="007B3B0A" w:rsidSect="00304403">
      <w:headerReference w:type="default" r:id="rId63"/>
      <w:type w:val="continuous"/>
      <w:pgSz w:w="11906" w:h="16838"/>
      <w:pgMar w:top="1560" w:right="624" w:bottom="1135" w:left="1259" w:header="357" w:footer="323" w:gutter="0"/>
      <w:pgBorders w:offsetFrom="page">
        <w:bottom w:val="single" w:sz="4" w:space="24" w:color="FFFFFF"/>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C38" w:rsidRDefault="00647C38">
      <w:r>
        <w:separator/>
      </w:r>
    </w:p>
  </w:endnote>
  <w:endnote w:type="continuationSeparator" w:id="0">
    <w:p w:rsidR="00647C38" w:rsidRDefault="00647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Bold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9528760"/>
      <w:docPartObj>
        <w:docPartGallery w:val="Page Numbers (Bottom of Page)"/>
        <w:docPartUnique/>
      </w:docPartObj>
    </w:sdtPr>
    <w:sdtEndPr>
      <w:rPr>
        <w:rFonts w:ascii="Times New Roman" w:hAnsi="Times New Roman"/>
        <w:sz w:val="24"/>
        <w:szCs w:val="24"/>
      </w:rPr>
    </w:sdtEndPr>
    <w:sdtContent>
      <w:p w:rsidR="009057F0" w:rsidRPr="007F73DE" w:rsidRDefault="006B5E2F" w:rsidP="009E4948">
        <w:pPr>
          <w:autoSpaceDE w:val="0"/>
          <w:autoSpaceDN w:val="0"/>
          <w:adjustRightInd w:val="0"/>
          <w:ind w:left="-540" w:right="-830"/>
          <w:rPr>
            <w:rFonts w:ascii="Arial" w:hAnsi="Arial" w:cs="Arial"/>
            <w:color w:val="1EAA82"/>
            <w:sz w:val="12"/>
            <w:szCs w:val="12"/>
          </w:rPr>
        </w:pPr>
        <w:r w:rsidRPr="006B5E2F">
          <w:rPr>
            <w:noProof/>
            <w:color w:val="009978"/>
          </w:rPr>
          <w:pict>
            <v:line id="Line 27" o:spid="_x0000_s4100" style="position:absolute;left:0;text-align:left;z-index:251660800;visibility:visible;mso-position-horizontal-relative:text;mso-position-vertical-relative:text" from="-26.25pt,-2pt" to="50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" strokecolor="#1eaa82"/>
          </w:pict>
        </w:r>
        <w:r w:rsidR="009057F0" w:rsidRPr="00996DDD">
          <w:rPr>
            <w:rFonts w:ascii="Arial" w:hAnsi="Arial" w:cs="Arial"/>
            <w:sz w:val="12"/>
            <w:szCs w:val="12"/>
          </w:rPr>
          <w:t xml:space="preserve"> </w:t>
        </w:r>
        <w:r w:rsidR="009057F0" w:rsidRPr="0014737A">
          <w:rPr>
            <w:rFonts w:ascii="Arial" w:hAnsi="Arial" w:cs="Arial"/>
            <w:b/>
            <w:sz w:val="12"/>
            <w:szCs w:val="12"/>
          </w:rPr>
          <w:t>Dom Maklerski Banku BPS S.A</w:t>
        </w:r>
        <w:r w:rsidR="009057F0">
          <w:rPr>
            <w:rFonts w:ascii="Arial" w:hAnsi="Arial" w:cs="Arial"/>
            <w:b/>
            <w:sz w:val="12"/>
            <w:szCs w:val="12"/>
          </w:rPr>
          <w:t>.</w:t>
        </w:r>
        <w:r w:rsidR="009057F0">
          <w:rPr>
            <w:rFonts w:ascii="Arial" w:hAnsi="Arial" w:cs="Arial"/>
            <w:sz w:val="12"/>
            <w:szCs w:val="12"/>
          </w:rPr>
          <w:t>, ul. Płocka 11/13</w:t>
        </w:r>
        <w:r w:rsidR="009057F0" w:rsidRPr="0014737A">
          <w:rPr>
            <w:rFonts w:ascii="Arial" w:hAnsi="Arial" w:cs="Arial"/>
            <w:sz w:val="12"/>
            <w:szCs w:val="12"/>
          </w:rPr>
          <w:t>, 01-231 W</w:t>
        </w:r>
        <w:r w:rsidR="009057F0">
          <w:rPr>
            <w:rFonts w:ascii="Arial" w:hAnsi="Arial" w:cs="Arial"/>
            <w:sz w:val="12"/>
            <w:szCs w:val="12"/>
          </w:rPr>
          <w:t xml:space="preserve">arszawa, infolinia: </w:t>
        </w:r>
        <w:r w:rsidR="009057F0" w:rsidRPr="00E57A74">
          <w:rPr>
            <w:rFonts w:ascii="Arial" w:hAnsi="Arial" w:cs="Arial"/>
            <w:sz w:val="12"/>
            <w:szCs w:val="12"/>
          </w:rPr>
          <w:t> 801 321</w:t>
        </w:r>
        <w:r w:rsidR="009057F0">
          <w:rPr>
            <w:rFonts w:ascii="Arial" w:hAnsi="Arial" w:cs="Arial"/>
            <w:sz w:val="12"/>
            <w:szCs w:val="12"/>
          </w:rPr>
          <w:t> </w:t>
        </w:r>
        <w:r w:rsidR="009057F0" w:rsidRPr="00E57A74">
          <w:rPr>
            <w:rFonts w:ascii="Arial" w:hAnsi="Arial" w:cs="Arial"/>
            <w:sz w:val="12"/>
            <w:szCs w:val="12"/>
          </w:rPr>
          <w:t>456</w:t>
        </w:r>
        <w:r w:rsidR="009057F0">
          <w:rPr>
            <w:rFonts w:ascii="Arial" w:hAnsi="Arial" w:cs="Arial"/>
            <w:sz w:val="12"/>
            <w:szCs w:val="12"/>
          </w:rPr>
          <w:t xml:space="preserve">, </w:t>
        </w:r>
        <w:hyperlink r:id="rId1" w:history="1">
          <w:r w:rsidR="009057F0" w:rsidRPr="00E57A74">
            <w:rPr>
              <w:rStyle w:val="Hipercze"/>
              <w:rFonts w:ascii="Arial" w:hAnsi="Arial" w:cs="Arial"/>
              <w:color w:val="auto"/>
              <w:sz w:val="12"/>
              <w:szCs w:val="12"/>
            </w:rPr>
            <w:t>www.dmbps.pl</w:t>
          </w:r>
        </w:hyperlink>
        <w:r w:rsidR="009057F0">
          <w:rPr>
            <w:rFonts w:ascii="Arial" w:hAnsi="Arial" w:cs="Arial"/>
            <w:sz w:val="12"/>
            <w:szCs w:val="12"/>
          </w:rPr>
          <w:t>, e-</w:t>
        </w:r>
        <w:r w:rsidR="009057F0" w:rsidRPr="00E57A74">
          <w:rPr>
            <w:rFonts w:ascii="Arial" w:hAnsi="Arial" w:cs="Arial"/>
            <w:sz w:val="12"/>
            <w:szCs w:val="12"/>
          </w:rPr>
          <w:t xml:space="preserve">mail: </w:t>
        </w:r>
        <w:hyperlink r:id="rId2" w:history="1">
          <w:r w:rsidR="009057F0" w:rsidRPr="00E57A74">
            <w:rPr>
              <w:rFonts w:ascii="Arial" w:hAnsi="Arial" w:cs="Arial"/>
              <w:sz w:val="12"/>
              <w:szCs w:val="12"/>
            </w:rPr>
            <w:t>dm@dmbps.pl</w:t>
          </w:r>
        </w:hyperlink>
      </w:p>
      <w:p w:rsidR="009057F0" w:rsidRPr="009E4948" w:rsidRDefault="009057F0">
        <w:pPr>
          <w:pStyle w:val="Stopka"/>
          <w:jc w:val="right"/>
          <w:rPr>
            <w:rFonts w:asciiTheme="majorHAnsi" w:hAnsiTheme="majorHAnsi"/>
            <w:sz w:val="2"/>
            <w:szCs w:val="2"/>
          </w:rPr>
        </w:pPr>
      </w:p>
      <w:p w:rsidR="009057F0" w:rsidRDefault="009057F0">
        <w:pPr>
          <w:pStyle w:val="Stopka"/>
          <w:jc w:val="right"/>
          <w:rPr>
            <w:rFonts w:asciiTheme="majorHAnsi" w:hAnsiTheme="majorHAnsi"/>
            <w:sz w:val="28"/>
            <w:szCs w:val="28"/>
          </w:rPr>
        </w:pPr>
        <w:r w:rsidRPr="009E4948">
          <w:rPr>
            <w:rFonts w:asciiTheme="minorHAnsi" w:hAnsiTheme="minorHAnsi" w:cstheme="minorHAnsi"/>
            <w:sz w:val="18"/>
            <w:szCs w:val="18"/>
          </w:rPr>
          <w:t xml:space="preserve">str. </w:t>
        </w:r>
        <w:r w:rsidR="006B5E2F" w:rsidRPr="009E4948">
          <w:rPr>
            <w:rFonts w:asciiTheme="minorHAnsi" w:hAnsiTheme="minorHAnsi" w:cstheme="minorHAnsi"/>
            <w:sz w:val="18"/>
            <w:szCs w:val="18"/>
          </w:rPr>
          <w:fldChar w:fldCharType="begin"/>
        </w:r>
        <w:r w:rsidRPr="009E4948">
          <w:rPr>
            <w:rFonts w:asciiTheme="minorHAnsi" w:hAnsiTheme="minorHAnsi" w:cstheme="minorHAnsi"/>
            <w:sz w:val="18"/>
            <w:szCs w:val="18"/>
          </w:rPr>
          <w:instrText xml:space="preserve"> PAGE    \* MERGEFORMAT </w:instrText>
        </w:r>
        <w:r w:rsidR="006B5E2F" w:rsidRPr="009E4948">
          <w:rPr>
            <w:rFonts w:asciiTheme="minorHAnsi" w:hAnsiTheme="minorHAnsi" w:cstheme="minorHAnsi"/>
            <w:sz w:val="18"/>
            <w:szCs w:val="18"/>
          </w:rPr>
          <w:fldChar w:fldCharType="separate"/>
        </w:r>
        <w:r w:rsidR="000E101A">
          <w:rPr>
            <w:rFonts w:asciiTheme="minorHAnsi" w:hAnsiTheme="minorHAnsi" w:cstheme="minorHAnsi"/>
            <w:noProof/>
            <w:sz w:val="18"/>
            <w:szCs w:val="18"/>
          </w:rPr>
          <w:t>14</w:t>
        </w:r>
        <w:r w:rsidR="006B5E2F" w:rsidRPr="009E4948">
          <w:rPr>
            <w:rFonts w:asciiTheme="minorHAnsi" w:hAnsiTheme="minorHAnsi" w:cstheme="minorHAnsi"/>
            <w:sz w:val="18"/>
            <w:szCs w:val="18"/>
          </w:rPr>
          <w:fldChar w:fldCharType="end"/>
        </w:r>
      </w:p>
    </w:sdtContent>
  </w:sdt>
  <w:p w:rsidR="009057F0" w:rsidRPr="00CD3FDA" w:rsidRDefault="009057F0" w:rsidP="00CD3FDA">
    <w:pPr>
      <w:autoSpaceDE w:val="0"/>
      <w:autoSpaceDN w:val="0"/>
      <w:adjustRightInd w:val="0"/>
      <w:ind w:right="-830"/>
      <w:rPr>
        <w:rFonts w:ascii="Arial" w:hAnsi="Arial"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C38" w:rsidRDefault="00647C38">
      <w:r>
        <w:separator/>
      </w:r>
    </w:p>
  </w:footnote>
  <w:footnote w:type="continuationSeparator" w:id="0">
    <w:p w:rsidR="00647C38" w:rsidRDefault="00647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F0" w:rsidRDefault="009057F0" w:rsidP="00117D12">
    <w:pPr>
      <w:pStyle w:val="Nagwek"/>
      <w:ind w:left="-540"/>
      <w:rPr>
        <w:rFonts w:asciiTheme="minorHAnsi" w:hAnsiTheme="minorHAnsi" w:cs="Arial"/>
        <w:b/>
        <w:noProof/>
        <w:color w:val="009978"/>
        <w:sz w:val="24"/>
        <w:szCs w:val="24"/>
        <w:lang w:eastAsia="pl-PL"/>
      </w:rPr>
    </w:pPr>
    <w:r w:rsidRPr="001719D3">
      <w:rPr>
        <w:rFonts w:asciiTheme="minorHAnsi" w:hAnsiTheme="minorHAnsi" w:cs="Arial"/>
        <w:b/>
        <w:noProof/>
        <w:color w:val="009978"/>
        <w:sz w:val="24"/>
        <w:szCs w:val="24"/>
        <w:lang w:eastAsia="pl-PL"/>
      </w:rPr>
      <w:drawing>
        <wp:anchor distT="0" distB="0" distL="114300" distR="114300" simplePos="0" relativeHeight="251657728" behindDoc="0" locked="0" layoutInCell="1" allowOverlap="1">
          <wp:simplePos x="0" y="0"/>
          <wp:positionH relativeFrom="column">
            <wp:posOffset>4486910</wp:posOffset>
          </wp:positionH>
          <wp:positionV relativeFrom="paragraph">
            <wp:posOffset>-36195</wp:posOffset>
          </wp:positionV>
          <wp:extent cx="1911985" cy="617220"/>
          <wp:effectExtent l="19050" t="0" r="0" b="0"/>
          <wp:wrapTopAndBottom/>
          <wp:docPr id="27" name="Obraz 16" descr="LOGO_DMB_2008-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LOGO_DMB_2008-10-20"/>
                  <pic:cNvPicPr>
                    <a:picLocks noChangeAspect="1" noChangeArrowheads="1"/>
                  </pic:cNvPicPr>
                </pic:nvPicPr>
                <pic:blipFill>
                  <a:blip r:embed="rId1"/>
                  <a:srcRect/>
                  <a:stretch>
                    <a:fillRect/>
                  </a:stretch>
                </pic:blipFill>
                <pic:spPr bwMode="auto">
                  <a:xfrm>
                    <a:off x="0" y="0"/>
                    <a:ext cx="1911985" cy="617220"/>
                  </a:xfrm>
                  <a:prstGeom prst="rect">
                    <a:avLst/>
                  </a:prstGeom>
                  <a:noFill/>
                  <a:ln w="9525">
                    <a:noFill/>
                    <a:miter lim="800000"/>
                    <a:headEnd/>
                    <a:tailEnd/>
                  </a:ln>
                </pic:spPr>
              </pic:pic>
            </a:graphicData>
          </a:graphic>
        </wp:anchor>
      </w:drawing>
    </w:r>
    <w:r>
      <w:rPr>
        <w:rFonts w:asciiTheme="minorHAnsi" w:hAnsiTheme="minorHAnsi" w:cs="Arial"/>
        <w:b/>
        <w:noProof/>
        <w:color w:val="009978"/>
        <w:sz w:val="24"/>
        <w:szCs w:val="24"/>
        <w:lang w:eastAsia="pl-PL"/>
      </w:rPr>
      <w:t>TELESKOP SEKTOROWY – BANKI SPÓŁDZIELCZE</w:t>
    </w:r>
  </w:p>
  <w:p w:rsidR="009057F0" w:rsidRDefault="009057F0" w:rsidP="00117D12">
    <w:pPr>
      <w:pStyle w:val="Nagwek"/>
      <w:ind w:left="-540"/>
      <w:rPr>
        <w:rFonts w:asciiTheme="minorHAnsi" w:hAnsiTheme="minorHAnsi" w:cs="Arial"/>
        <w:b/>
        <w:color w:val="FFFFFF"/>
        <w:sz w:val="2"/>
        <w:szCs w:val="2"/>
      </w:rPr>
    </w:pPr>
  </w:p>
  <w:p w:rsidR="009057F0" w:rsidRDefault="009057F0" w:rsidP="00117D12">
    <w:pPr>
      <w:pStyle w:val="Nagwek"/>
      <w:ind w:left="-540"/>
      <w:rPr>
        <w:rFonts w:asciiTheme="minorHAnsi" w:hAnsiTheme="minorHAnsi" w:cs="Arial"/>
        <w:b/>
        <w:color w:val="FFFFFF"/>
        <w:sz w:val="2"/>
        <w:szCs w:val="2"/>
      </w:rPr>
    </w:pPr>
  </w:p>
  <w:p w:rsidR="009057F0" w:rsidRDefault="009057F0" w:rsidP="00117D12">
    <w:pPr>
      <w:pStyle w:val="Nagwek"/>
      <w:ind w:left="-540"/>
      <w:rPr>
        <w:rFonts w:asciiTheme="minorHAnsi" w:hAnsiTheme="minorHAnsi" w:cs="Arial"/>
        <w:b/>
        <w:color w:val="FFFFFF"/>
        <w:sz w:val="2"/>
        <w:szCs w:val="2"/>
      </w:rPr>
    </w:pPr>
  </w:p>
  <w:p w:rsidR="009057F0" w:rsidRDefault="009057F0" w:rsidP="00117D12">
    <w:pPr>
      <w:pStyle w:val="Nagwek"/>
      <w:ind w:left="-540"/>
      <w:rPr>
        <w:rFonts w:asciiTheme="minorHAnsi" w:hAnsiTheme="minorHAnsi" w:cs="Arial"/>
        <w:b/>
        <w:color w:val="FFFFFF"/>
        <w:sz w:val="2"/>
        <w:szCs w:val="2"/>
      </w:rPr>
    </w:pPr>
  </w:p>
  <w:p w:rsidR="009057F0" w:rsidRDefault="006B5E2F" w:rsidP="00336823">
    <w:pPr>
      <w:pStyle w:val="Nagwek"/>
      <w:ind w:left="-540"/>
      <w:rPr>
        <w:rFonts w:asciiTheme="minorHAnsi" w:hAnsiTheme="minorHAnsi" w:cs="Arial"/>
        <w:color w:val="009978"/>
      </w:rPr>
    </w:pPr>
    <w:r w:rsidRPr="006B5E2F">
      <w:rPr>
        <w:rFonts w:asciiTheme="minorHAnsi" w:hAnsiTheme="minorHAnsi" w:cs="Arial"/>
        <w:noProof/>
        <w:sz w:val="12"/>
        <w:szCs w:val="12"/>
        <w:lang w:eastAsia="pl-PL"/>
      </w:rPr>
      <w:pict>
        <v:shapetype id="_x0000_t32" coordsize="21600,21600" o:spt="32" o:oned="t" path="m,l21600,21600e" filled="f">
          <v:path arrowok="t" fillok="f" o:connecttype="none"/>
          <o:lock v:ext="edit" shapetype="t"/>
        </v:shapetype>
        <v:shape id="AutoShape 2" o:spid="_x0000_s4103" type="#_x0000_t32" style="position:absolute;left:0;text-align:left;margin-left:0;margin-top:0;width:465pt;height:3pt;z-index:251656704;visibility:visible;mso-wrap-distance-top:7.2pt;mso-wrap-distance-bottom:10.8pt;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" o:allowincell="f" stroked="f" strokecolor="white" strokeweight="1.5pt">
          <w10:wrap anchorx="page" anchory="page"/>
        </v:shape>
      </w:pict>
    </w:r>
    <w:r w:rsidRPr="006B5E2F">
      <w:rPr>
        <w:rFonts w:asciiTheme="minorHAnsi" w:hAnsiTheme="minorHAnsi" w:cs="Arial"/>
        <w:noProof/>
        <w:sz w:val="12"/>
        <w:szCs w:val="12"/>
        <w:lang w:eastAsia="pl-PL"/>
      </w:rPr>
      <w:pict>
        <v:shape id="AutoShape 1" o:spid="_x0000_s4102" type="#_x0000_t32" style="position:absolute;left:0;text-align:left;margin-left:0;margin-top:0;width:519pt;height:.75pt;z-index:251655680;visibility:visible;mso-wrap-distance-top:7.2pt;mso-wrap-distance-bottom:10.8pt;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" o:allowincell="f" stroked="f" strokecolor="white" strokeweight="1.5pt">
          <w10:wrap anchorx="page" anchory="page"/>
        </v:shape>
      </w:pict>
    </w:r>
    <w:r w:rsidR="00480E81">
      <w:rPr>
        <w:rFonts w:asciiTheme="minorHAnsi" w:hAnsiTheme="minorHAnsi" w:cs="Arial"/>
        <w:color w:val="009978"/>
      </w:rPr>
      <w:t>4</w:t>
    </w:r>
    <w:r w:rsidR="009057F0">
      <w:rPr>
        <w:rFonts w:asciiTheme="minorHAnsi" w:hAnsiTheme="minorHAnsi" w:cs="Arial"/>
        <w:color w:val="009978"/>
      </w:rPr>
      <w:t xml:space="preserve"> październik 2013</w:t>
    </w:r>
    <w:r w:rsidR="009057F0" w:rsidRPr="00B44FA6">
      <w:rPr>
        <w:rFonts w:asciiTheme="minorHAnsi" w:hAnsiTheme="minorHAnsi" w:cs="Arial"/>
        <w:color w:val="009978"/>
      </w:rPr>
      <w:t xml:space="preserve"> r.</w:t>
    </w:r>
  </w:p>
  <w:p w:rsidR="009057F0" w:rsidRPr="00B44FA6" w:rsidRDefault="006B5E2F" w:rsidP="00336823">
    <w:pPr>
      <w:pStyle w:val="Nagwek"/>
      <w:ind w:left="-540"/>
      <w:rPr>
        <w:rFonts w:asciiTheme="minorHAnsi" w:hAnsiTheme="minorHAnsi"/>
        <w:color w:val="009978"/>
      </w:rPr>
    </w:pPr>
    <w:r w:rsidRPr="006B5E2F">
      <w:rPr>
        <w:rFonts w:asciiTheme="minorHAnsi" w:hAnsiTheme="minorHAnsi" w:cs="Arial"/>
        <w:noProof/>
        <w:color w:val="009978"/>
        <w:lang w:eastAsia="pl-PL"/>
      </w:rPr>
      <w:pict>
        <v:line id="Line 25" o:spid="_x0000_s4101" style="position:absolute;left:0;text-align:left;z-index:251658752;visibility:visible" from="-27pt,14.1pt" to="7in,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" strokecolor="#1eaa82"/>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F0" w:rsidRPr="00B44FA6" w:rsidRDefault="009057F0" w:rsidP="00117D12">
    <w:pPr>
      <w:pStyle w:val="Nagwek"/>
      <w:ind w:left="-540"/>
      <w:rPr>
        <w:rFonts w:asciiTheme="minorHAnsi" w:hAnsiTheme="minorHAnsi" w:cs="Arial"/>
        <w:b/>
        <w:noProof/>
        <w:color w:val="009978"/>
        <w:sz w:val="36"/>
        <w:szCs w:val="36"/>
        <w:lang w:eastAsia="pl-PL"/>
      </w:rPr>
    </w:pPr>
    <w:r w:rsidRPr="00B44FA6">
      <w:rPr>
        <w:rFonts w:asciiTheme="minorHAnsi" w:hAnsiTheme="minorHAnsi" w:cs="Arial"/>
        <w:b/>
        <w:noProof/>
        <w:color w:val="009978"/>
        <w:sz w:val="36"/>
        <w:szCs w:val="36"/>
        <w:lang w:eastAsia="pl-PL"/>
      </w:rPr>
      <w:drawing>
        <wp:anchor distT="0" distB="0" distL="114300" distR="114300" simplePos="0" relativeHeight="251664896" behindDoc="0" locked="0" layoutInCell="1" allowOverlap="1">
          <wp:simplePos x="0" y="0"/>
          <wp:positionH relativeFrom="column">
            <wp:posOffset>4486910</wp:posOffset>
          </wp:positionH>
          <wp:positionV relativeFrom="paragraph">
            <wp:posOffset>-36195</wp:posOffset>
          </wp:positionV>
          <wp:extent cx="1911985" cy="617220"/>
          <wp:effectExtent l="19050" t="0" r="0" b="0"/>
          <wp:wrapTopAndBottom/>
          <wp:docPr id="50" name="Obraz 16" descr="LOGO_DMB_2008-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LOGO_DMB_2008-10-20"/>
                  <pic:cNvPicPr>
                    <a:picLocks noChangeAspect="1" noChangeArrowheads="1"/>
                  </pic:cNvPicPr>
                </pic:nvPicPr>
                <pic:blipFill>
                  <a:blip r:embed="rId1"/>
                  <a:srcRect/>
                  <a:stretch>
                    <a:fillRect/>
                  </a:stretch>
                </pic:blipFill>
                <pic:spPr bwMode="auto">
                  <a:xfrm>
                    <a:off x="0" y="0"/>
                    <a:ext cx="1911985" cy="617220"/>
                  </a:xfrm>
                  <a:prstGeom prst="rect">
                    <a:avLst/>
                  </a:prstGeom>
                  <a:noFill/>
                  <a:ln w="9525">
                    <a:noFill/>
                    <a:miter lim="800000"/>
                    <a:headEnd/>
                    <a:tailEnd/>
                  </a:ln>
                </pic:spPr>
              </pic:pic>
            </a:graphicData>
          </a:graphic>
        </wp:anchor>
      </w:drawing>
    </w:r>
    <w:r w:rsidRPr="001719D3">
      <w:rPr>
        <w:rFonts w:asciiTheme="minorHAnsi" w:hAnsiTheme="minorHAnsi" w:cs="Arial"/>
        <w:b/>
        <w:noProof/>
        <w:color w:val="009978"/>
        <w:sz w:val="24"/>
        <w:szCs w:val="24"/>
        <w:lang w:eastAsia="pl-PL"/>
      </w:rPr>
      <w:t xml:space="preserve"> </w:t>
    </w:r>
    <w:r>
      <w:rPr>
        <w:rFonts w:asciiTheme="minorHAnsi" w:hAnsiTheme="minorHAnsi" w:cs="Arial"/>
        <w:b/>
        <w:noProof/>
        <w:color w:val="009978"/>
        <w:sz w:val="24"/>
        <w:szCs w:val="24"/>
        <w:lang w:eastAsia="pl-PL"/>
      </w:rPr>
      <w:t>TELESKOP SEKTOROWY – BANKI SPÓŁDZIELCZE</w:t>
    </w:r>
  </w:p>
  <w:p w:rsidR="009057F0" w:rsidRDefault="009057F0" w:rsidP="00117D12">
    <w:pPr>
      <w:pStyle w:val="Nagwek"/>
      <w:ind w:left="-540"/>
      <w:rPr>
        <w:rFonts w:asciiTheme="minorHAnsi" w:hAnsiTheme="minorHAnsi" w:cs="Arial"/>
        <w:b/>
        <w:color w:val="FFFFFF"/>
        <w:sz w:val="2"/>
        <w:szCs w:val="2"/>
      </w:rPr>
    </w:pPr>
  </w:p>
  <w:p w:rsidR="009057F0" w:rsidRDefault="009057F0" w:rsidP="00117D12">
    <w:pPr>
      <w:pStyle w:val="Nagwek"/>
      <w:ind w:left="-540"/>
      <w:rPr>
        <w:rFonts w:asciiTheme="minorHAnsi" w:hAnsiTheme="minorHAnsi" w:cs="Arial"/>
        <w:b/>
        <w:color w:val="FFFFFF"/>
        <w:sz w:val="2"/>
        <w:szCs w:val="2"/>
      </w:rPr>
    </w:pPr>
  </w:p>
  <w:p w:rsidR="009057F0" w:rsidRDefault="009057F0" w:rsidP="00117D12">
    <w:pPr>
      <w:pStyle w:val="Nagwek"/>
      <w:ind w:left="-540"/>
      <w:rPr>
        <w:rFonts w:asciiTheme="minorHAnsi" w:hAnsiTheme="minorHAnsi" w:cs="Arial"/>
        <w:b/>
        <w:color w:val="FFFFFF"/>
        <w:sz w:val="2"/>
        <w:szCs w:val="2"/>
      </w:rPr>
    </w:pPr>
  </w:p>
  <w:p w:rsidR="009057F0" w:rsidRDefault="009057F0" w:rsidP="00117D12">
    <w:pPr>
      <w:pStyle w:val="Nagwek"/>
      <w:ind w:left="-540"/>
      <w:rPr>
        <w:rFonts w:asciiTheme="minorHAnsi" w:hAnsiTheme="minorHAnsi" w:cs="Arial"/>
        <w:b/>
        <w:color w:val="FFFFFF"/>
        <w:sz w:val="2"/>
        <w:szCs w:val="2"/>
      </w:rPr>
    </w:pPr>
  </w:p>
  <w:p w:rsidR="009057F0" w:rsidRDefault="009057F0" w:rsidP="00117D12">
    <w:pPr>
      <w:pStyle w:val="Nagwek"/>
      <w:ind w:left="-540"/>
      <w:rPr>
        <w:rFonts w:asciiTheme="minorHAnsi" w:hAnsiTheme="minorHAnsi" w:cs="Arial"/>
        <w:b/>
        <w:color w:val="FFFFFF"/>
        <w:sz w:val="2"/>
        <w:szCs w:val="2"/>
      </w:rPr>
    </w:pPr>
  </w:p>
  <w:p w:rsidR="009057F0" w:rsidRDefault="006B5E2F" w:rsidP="00336823">
    <w:pPr>
      <w:pStyle w:val="Nagwek"/>
      <w:ind w:left="-540"/>
      <w:rPr>
        <w:rFonts w:asciiTheme="minorHAnsi" w:hAnsiTheme="minorHAnsi" w:cs="Arial"/>
        <w:color w:val="009978"/>
      </w:rPr>
    </w:pPr>
    <w:r w:rsidRPr="006B5E2F">
      <w:rPr>
        <w:rFonts w:asciiTheme="minorHAnsi" w:hAnsiTheme="minorHAnsi" w:cs="Arial"/>
        <w:noProof/>
        <w:sz w:val="12"/>
        <w:szCs w:val="12"/>
        <w:lang w:eastAsia="pl-PL"/>
      </w:rPr>
      <w:pict>
        <v:shapetype id="_x0000_t32" coordsize="21600,21600" o:spt="32" o:oned="t" path="m,l21600,21600e" filled="f">
          <v:path arrowok="t" fillok="f" o:connecttype="none"/>
          <o:lock v:ext="edit" shapetype="t"/>
        </v:shapetype>
        <v:shape id="AutoShape 29" o:spid="_x0000_s4099" type="#_x0000_t32" style="position:absolute;left:0;text-align:left;margin-left:0;margin-top:0;width:465pt;height:3pt;z-index:251663872;visibility:visible;mso-wrap-distance-top:7.2pt;mso-wrap-distance-bottom:10.8pt;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" o:allowincell="f" stroked="f" strokecolor="white" strokeweight="1.5pt">
          <w10:wrap anchorx="page" anchory="page"/>
        </v:shape>
      </w:pict>
    </w:r>
    <w:r w:rsidRPr="006B5E2F">
      <w:rPr>
        <w:rFonts w:asciiTheme="minorHAnsi" w:hAnsiTheme="minorHAnsi" w:cs="Arial"/>
        <w:noProof/>
        <w:sz w:val="12"/>
        <w:szCs w:val="12"/>
        <w:lang w:eastAsia="pl-PL"/>
      </w:rPr>
      <w:pict>
        <v:shape id="AutoShape 28" o:spid="_x0000_s4098" type="#_x0000_t32" style="position:absolute;left:0;text-align:left;margin-left:0;margin-top:0;width:519pt;height:.75pt;z-index:251662848;visibility:visible;mso-wrap-distance-top:7.2pt;mso-wrap-distance-bottom:10.8pt;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" o:allowincell="f" stroked="f" strokecolor="white" strokeweight="1.5pt">
          <w10:wrap anchorx="page" anchory="page"/>
        </v:shape>
      </w:pict>
    </w:r>
    <w:r w:rsidR="00480E81">
      <w:rPr>
        <w:rFonts w:asciiTheme="minorHAnsi" w:hAnsiTheme="minorHAnsi" w:cs="Arial"/>
        <w:color w:val="009978"/>
      </w:rPr>
      <w:t>4</w:t>
    </w:r>
    <w:r w:rsidR="009057F0">
      <w:rPr>
        <w:rFonts w:asciiTheme="minorHAnsi" w:hAnsiTheme="minorHAnsi" w:cs="Arial"/>
        <w:color w:val="009978"/>
      </w:rPr>
      <w:t xml:space="preserve"> październik 2013</w:t>
    </w:r>
    <w:r w:rsidR="009057F0" w:rsidRPr="00B44FA6">
      <w:rPr>
        <w:rFonts w:asciiTheme="minorHAnsi" w:hAnsiTheme="minorHAnsi" w:cs="Arial"/>
        <w:color w:val="009978"/>
      </w:rPr>
      <w:t xml:space="preserve"> r.</w:t>
    </w:r>
  </w:p>
  <w:p w:rsidR="009057F0" w:rsidRPr="00B44FA6" w:rsidRDefault="006B5E2F" w:rsidP="00336823">
    <w:pPr>
      <w:pStyle w:val="Nagwek"/>
      <w:ind w:left="-540"/>
      <w:rPr>
        <w:rFonts w:asciiTheme="minorHAnsi" w:hAnsiTheme="minorHAnsi"/>
        <w:color w:val="009978"/>
      </w:rPr>
    </w:pPr>
    <w:r w:rsidRPr="006B5E2F">
      <w:rPr>
        <w:rFonts w:asciiTheme="minorHAnsi" w:hAnsiTheme="minorHAnsi" w:cs="Arial"/>
        <w:noProof/>
        <w:color w:val="009978"/>
        <w:lang w:eastAsia="pl-PL"/>
      </w:rPr>
      <w:pict>
        <v:line id="Line 30" o:spid="_x0000_s4097" style="position:absolute;left:0;text-align:left;z-index:251665920;visibility:visible" from="-27pt,11.55pt" to="7in,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" strokecolor="#1eaa8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57FC"/>
    <w:multiLevelType w:val="hybridMultilevel"/>
    <w:tmpl w:val="4BD23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4E71E9"/>
    <w:multiLevelType w:val="hybridMultilevel"/>
    <w:tmpl w:val="9EC0B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1B179FB"/>
    <w:multiLevelType w:val="hybridMultilevel"/>
    <w:tmpl w:val="BE288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42557C"/>
    <w:multiLevelType w:val="hybridMultilevel"/>
    <w:tmpl w:val="7AD48038"/>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nsid w:val="1CBC1A2F"/>
    <w:multiLevelType w:val="hybridMultilevel"/>
    <w:tmpl w:val="5C14F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1685D34"/>
    <w:multiLevelType w:val="hybridMultilevel"/>
    <w:tmpl w:val="D4460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22E0268"/>
    <w:multiLevelType w:val="hybridMultilevel"/>
    <w:tmpl w:val="DAFA495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
    <w:nsid w:val="225B2E74"/>
    <w:multiLevelType w:val="hybridMultilevel"/>
    <w:tmpl w:val="B9EE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47439EC"/>
    <w:multiLevelType w:val="hybridMultilevel"/>
    <w:tmpl w:val="C1789AD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nsid w:val="248F2F92"/>
    <w:multiLevelType w:val="hybridMultilevel"/>
    <w:tmpl w:val="50843266"/>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
    <w:nsid w:val="24FF7E77"/>
    <w:multiLevelType w:val="hybridMultilevel"/>
    <w:tmpl w:val="F3662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56846D7"/>
    <w:multiLevelType w:val="hybridMultilevel"/>
    <w:tmpl w:val="DCA64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58801CB"/>
    <w:multiLevelType w:val="hybridMultilevel"/>
    <w:tmpl w:val="0436C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A658B5"/>
    <w:multiLevelType w:val="hybridMultilevel"/>
    <w:tmpl w:val="C1D45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16233AA"/>
    <w:multiLevelType w:val="hybridMultilevel"/>
    <w:tmpl w:val="64663C1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35F3569F"/>
    <w:multiLevelType w:val="hybridMultilevel"/>
    <w:tmpl w:val="996EA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7A1587C"/>
    <w:multiLevelType w:val="hybridMultilevel"/>
    <w:tmpl w:val="8B54B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A69076B"/>
    <w:multiLevelType w:val="hybridMultilevel"/>
    <w:tmpl w:val="811C9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D9C57F6"/>
    <w:multiLevelType w:val="hybridMultilevel"/>
    <w:tmpl w:val="A412B93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
    <w:nsid w:val="3E6E3387"/>
    <w:multiLevelType w:val="hybridMultilevel"/>
    <w:tmpl w:val="0436C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EF0DEA"/>
    <w:multiLevelType w:val="hybridMultilevel"/>
    <w:tmpl w:val="DFB253B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
    <w:nsid w:val="422F4D6B"/>
    <w:multiLevelType w:val="hybridMultilevel"/>
    <w:tmpl w:val="A52C0E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31132A7"/>
    <w:multiLevelType w:val="hybridMultilevel"/>
    <w:tmpl w:val="C7F8F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46102DC"/>
    <w:multiLevelType w:val="hybridMultilevel"/>
    <w:tmpl w:val="A69A0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48F5B6B"/>
    <w:multiLevelType w:val="hybridMultilevel"/>
    <w:tmpl w:val="D062FD2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465D329C"/>
    <w:multiLevelType w:val="hybridMultilevel"/>
    <w:tmpl w:val="F6920B92"/>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start w:val="1"/>
      <w:numFmt w:val="lowerRoman"/>
      <w:lvlText w:val="%3."/>
      <w:lvlJc w:val="righ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C075BF"/>
    <w:multiLevelType w:val="hybridMultilevel"/>
    <w:tmpl w:val="6624F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20E2859"/>
    <w:multiLevelType w:val="hybridMultilevel"/>
    <w:tmpl w:val="3DE28F1A"/>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28">
    <w:nsid w:val="534B3BC6"/>
    <w:multiLevelType w:val="hybridMultilevel"/>
    <w:tmpl w:val="A920D0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3E53D7F"/>
    <w:multiLevelType w:val="hybridMultilevel"/>
    <w:tmpl w:val="EAD213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68B4B2E"/>
    <w:multiLevelType w:val="hybridMultilevel"/>
    <w:tmpl w:val="B6126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9DA3CFF"/>
    <w:multiLevelType w:val="hybridMultilevel"/>
    <w:tmpl w:val="87A654FE"/>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2">
    <w:nsid w:val="6D0650CE"/>
    <w:multiLevelType w:val="hybridMultilevel"/>
    <w:tmpl w:val="50F2C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1BF0C68"/>
    <w:multiLevelType w:val="hybridMultilevel"/>
    <w:tmpl w:val="4A3077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2806F8C"/>
    <w:multiLevelType w:val="hybridMultilevel"/>
    <w:tmpl w:val="51AE10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9D66971"/>
    <w:multiLevelType w:val="hybridMultilevel"/>
    <w:tmpl w:val="C33A3B8E"/>
    <w:lvl w:ilvl="0" w:tplc="04150001">
      <w:start w:val="1"/>
      <w:numFmt w:val="bullet"/>
      <w:lvlText w:val=""/>
      <w:lvlJc w:val="left"/>
      <w:pPr>
        <w:ind w:left="210" w:hanging="360"/>
      </w:pPr>
      <w:rPr>
        <w:rFonts w:ascii="Symbol" w:hAnsi="Symbol" w:hint="default"/>
      </w:rPr>
    </w:lvl>
    <w:lvl w:ilvl="1" w:tplc="04150003" w:tentative="1">
      <w:start w:val="1"/>
      <w:numFmt w:val="bullet"/>
      <w:lvlText w:val="o"/>
      <w:lvlJc w:val="left"/>
      <w:pPr>
        <w:ind w:left="930" w:hanging="360"/>
      </w:pPr>
      <w:rPr>
        <w:rFonts w:ascii="Courier New" w:hAnsi="Courier New" w:cs="Courier New" w:hint="default"/>
      </w:rPr>
    </w:lvl>
    <w:lvl w:ilvl="2" w:tplc="04150005" w:tentative="1">
      <w:start w:val="1"/>
      <w:numFmt w:val="bullet"/>
      <w:lvlText w:val=""/>
      <w:lvlJc w:val="left"/>
      <w:pPr>
        <w:ind w:left="1650" w:hanging="360"/>
      </w:pPr>
      <w:rPr>
        <w:rFonts w:ascii="Wingdings" w:hAnsi="Wingdings" w:hint="default"/>
      </w:rPr>
    </w:lvl>
    <w:lvl w:ilvl="3" w:tplc="04150001" w:tentative="1">
      <w:start w:val="1"/>
      <w:numFmt w:val="bullet"/>
      <w:lvlText w:val=""/>
      <w:lvlJc w:val="left"/>
      <w:pPr>
        <w:ind w:left="2370" w:hanging="360"/>
      </w:pPr>
      <w:rPr>
        <w:rFonts w:ascii="Symbol" w:hAnsi="Symbol" w:hint="default"/>
      </w:rPr>
    </w:lvl>
    <w:lvl w:ilvl="4" w:tplc="04150003" w:tentative="1">
      <w:start w:val="1"/>
      <w:numFmt w:val="bullet"/>
      <w:lvlText w:val="o"/>
      <w:lvlJc w:val="left"/>
      <w:pPr>
        <w:ind w:left="3090" w:hanging="360"/>
      </w:pPr>
      <w:rPr>
        <w:rFonts w:ascii="Courier New" w:hAnsi="Courier New" w:cs="Courier New" w:hint="default"/>
      </w:rPr>
    </w:lvl>
    <w:lvl w:ilvl="5" w:tplc="04150005" w:tentative="1">
      <w:start w:val="1"/>
      <w:numFmt w:val="bullet"/>
      <w:lvlText w:val=""/>
      <w:lvlJc w:val="left"/>
      <w:pPr>
        <w:ind w:left="3810" w:hanging="360"/>
      </w:pPr>
      <w:rPr>
        <w:rFonts w:ascii="Wingdings" w:hAnsi="Wingdings" w:hint="default"/>
      </w:rPr>
    </w:lvl>
    <w:lvl w:ilvl="6" w:tplc="04150001" w:tentative="1">
      <w:start w:val="1"/>
      <w:numFmt w:val="bullet"/>
      <w:lvlText w:val=""/>
      <w:lvlJc w:val="left"/>
      <w:pPr>
        <w:ind w:left="4530" w:hanging="360"/>
      </w:pPr>
      <w:rPr>
        <w:rFonts w:ascii="Symbol" w:hAnsi="Symbol" w:hint="default"/>
      </w:rPr>
    </w:lvl>
    <w:lvl w:ilvl="7" w:tplc="04150003" w:tentative="1">
      <w:start w:val="1"/>
      <w:numFmt w:val="bullet"/>
      <w:lvlText w:val="o"/>
      <w:lvlJc w:val="left"/>
      <w:pPr>
        <w:ind w:left="5250" w:hanging="360"/>
      </w:pPr>
      <w:rPr>
        <w:rFonts w:ascii="Courier New" w:hAnsi="Courier New" w:cs="Courier New" w:hint="default"/>
      </w:rPr>
    </w:lvl>
    <w:lvl w:ilvl="8" w:tplc="04150005" w:tentative="1">
      <w:start w:val="1"/>
      <w:numFmt w:val="bullet"/>
      <w:lvlText w:val=""/>
      <w:lvlJc w:val="left"/>
      <w:pPr>
        <w:ind w:left="5970" w:hanging="360"/>
      </w:pPr>
      <w:rPr>
        <w:rFonts w:ascii="Wingdings" w:hAnsi="Wingdings" w:hint="default"/>
      </w:rPr>
    </w:lvl>
  </w:abstractNum>
  <w:abstractNum w:abstractNumId="36">
    <w:nsid w:val="7B3F674C"/>
    <w:multiLevelType w:val="hybridMultilevel"/>
    <w:tmpl w:val="4BD23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C0E6809"/>
    <w:multiLevelType w:val="hybridMultilevel"/>
    <w:tmpl w:val="FDCAF84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nsid w:val="7D5031A4"/>
    <w:multiLevelType w:val="hybridMultilevel"/>
    <w:tmpl w:val="5F827F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3"/>
  </w:num>
  <w:num w:numId="4">
    <w:abstractNumId w:val="6"/>
  </w:num>
  <w:num w:numId="5">
    <w:abstractNumId w:val="18"/>
  </w:num>
  <w:num w:numId="6">
    <w:abstractNumId w:val="4"/>
  </w:num>
  <w:num w:numId="7">
    <w:abstractNumId w:val="36"/>
  </w:num>
  <w:num w:numId="8">
    <w:abstractNumId w:val="0"/>
  </w:num>
  <w:num w:numId="9">
    <w:abstractNumId w:val="19"/>
  </w:num>
  <w:num w:numId="10">
    <w:abstractNumId w:val="12"/>
  </w:num>
  <w:num w:numId="11">
    <w:abstractNumId w:val="8"/>
  </w:num>
  <w:num w:numId="12">
    <w:abstractNumId w:val="37"/>
  </w:num>
  <w:num w:numId="13">
    <w:abstractNumId w:val="25"/>
  </w:num>
  <w:num w:numId="14">
    <w:abstractNumId w:val="9"/>
  </w:num>
  <w:num w:numId="15">
    <w:abstractNumId w:val="24"/>
  </w:num>
  <w:num w:numId="16">
    <w:abstractNumId w:val="31"/>
  </w:num>
  <w:num w:numId="17">
    <w:abstractNumId w:val="15"/>
  </w:num>
  <w:num w:numId="18">
    <w:abstractNumId w:val="34"/>
  </w:num>
  <w:num w:numId="19">
    <w:abstractNumId w:val="27"/>
  </w:num>
  <w:num w:numId="20">
    <w:abstractNumId w:val="5"/>
  </w:num>
  <w:num w:numId="21">
    <w:abstractNumId w:val="30"/>
  </w:num>
  <w:num w:numId="22">
    <w:abstractNumId w:val="1"/>
  </w:num>
  <w:num w:numId="23">
    <w:abstractNumId w:val="35"/>
  </w:num>
  <w:num w:numId="24">
    <w:abstractNumId w:val="21"/>
  </w:num>
  <w:num w:numId="25">
    <w:abstractNumId w:val="26"/>
  </w:num>
  <w:num w:numId="26">
    <w:abstractNumId w:val="28"/>
  </w:num>
  <w:num w:numId="27">
    <w:abstractNumId w:val="16"/>
  </w:num>
  <w:num w:numId="28">
    <w:abstractNumId w:val="13"/>
  </w:num>
  <w:num w:numId="29">
    <w:abstractNumId w:val="7"/>
  </w:num>
  <w:num w:numId="30">
    <w:abstractNumId w:val="38"/>
  </w:num>
  <w:num w:numId="31">
    <w:abstractNumId w:val="23"/>
  </w:num>
  <w:num w:numId="32">
    <w:abstractNumId w:val="29"/>
  </w:num>
  <w:num w:numId="33">
    <w:abstractNumId w:val="2"/>
  </w:num>
  <w:num w:numId="34">
    <w:abstractNumId w:val="11"/>
  </w:num>
  <w:num w:numId="35">
    <w:abstractNumId w:val="17"/>
  </w:num>
  <w:num w:numId="36">
    <w:abstractNumId w:val="22"/>
  </w:num>
  <w:num w:numId="37">
    <w:abstractNumId w:val="32"/>
  </w:num>
  <w:num w:numId="38">
    <w:abstractNumId w:val="33"/>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activeWritingStyle w:appName="MSWord" w:lang="pl-PL" w:vendorID="12" w:dllVersion="512" w:checkStyle="1"/>
  <w:stylePaneFormatFilter w:val="3F01"/>
  <w:defaultTabStop w:val="708"/>
  <w:hyphenationZone w:val="425"/>
  <w:drawingGridHorizontalSpacing w:val="120"/>
  <w:displayHorizontalDrawingGridEvery w:val="2"/>
  <w:characterSpacingControl w:val="doNotCompress"/>
  <w:hdrShapeDefaults>
    <o:shapedefaults v:ext="edit" spidmax="11266">
      <o:colormru v:ext="edit" colors="#1eaa82,#00bf7d,#00eb9e,#00edb9,#00ed5a,#00a23e,#83bb1c,#0dcf1f"/>
    </o:shapedefaults>
    <o:shapelayout v:ext="edit">
      <o:idmap v:ext="edit" data="4"/>
      <o:rules v:ext="edit">
        <o:r id="V:Rule5" type="connector" idref="#AutoShape 2"/>
        <o:r id="V:Rule6" type="connector" idref="#AutoShape 29"/>
        <o:r id="V:Rule7" type="connector" idref="#AutoShape 1"/>
        <o:r id="V:Rule8" type="connector" idref="#AutoShape 28"/>
      </o:rules>
    </o:shapelayout>
  </w:hdrShapeDefaults>
  <w:footnotePr>
    <w:footnote w:id="-1"/>
    <w:footnote w:id="0"/>
  </w:footnotePr>
  <w:endnotePr>
    <w:endnote w:id="-1"/>
    <w:endnote w:id="0"/>
  </w:endnotePr>
  <w:compat/>
  <w:rsids>
    <w:rsidRoot w:val="004431CF"/>
    <w:rsid w:val="00000891"/>
    <w:rsid w:val="000009DE"/>
    <w:rsid w:val="00000B6E"/>
    <w:rsid w:val="00000CBD"/>
    <w:rsid w:val="000011C8"/>
    <w:rsid w:val="000022FA"/>
    <w:rsid w:val="00002D1C"/>
    <w:rsid w:val="0000470D"/>
    <w:rsid w:val="0000538F"/>
    <w:rsid w:val="00005C67"/>
    <w:rsid w:val="000066A6"/>
    <w:rsid w:val="00006CA9"/>
    <w:rsid w:val="00007C27"/>
    <w:rsid w:val="00010693"/>
    <w:rsid w:val="00010E30"/>
    <w:rsid w:val="000117DA"/>
    <w:rsid w:val="000119FE"/>
    <w:rsid w:val="00011A02"/>
    <w:rsid w:val="00011E18"/>
    <w:rsid w:val="00011EF1"/>
    <w:rsid w:val="000121AF"/>
    <w:rsid w:val="00012C06"/>
    <w:rsid w:val="00012D05"/>
    <w:rsid w:val="0001617F"/>
    <w:rsid w:val="000162B0"/>
    <w:rsid w:val="00016C24"/>
    <w:rsid w:val="00016CA2"/>
    <w:rsid w:val="00016E9D"/>
    <w:rsid w:val="00020C63"/>
    <w:rsid w:val="00020E79"/>
    <w:rsid w:val="00021B1F"/>
    <w:rsid w:val="00021C0E"/>
    <w:rsid w:val="000222E4"/>
    <w:rsid w:val="00022BF5"/>
    <w:rsid w:val="0002324C"/>
    <w:rsid w:val="00023D57"/>
    <w:rsid w:val="000244B0"/>
    <w:rsid w:val="0002691C"/>
    <w:rsid w:val="00026FD7"/>
    <w:rsid w:val="00030AB0"/>
    <w:rsid w:val="00030F2C"/>
    <w:rsid w:val="00030F68"/>
    <w:rsid w:val="00033DD2"/>
    <w:rsid w:val="0003485F"/>
    <w:rsid w:val="00035E69"/>
    <w:rsid w:val="00036CF3"/>
    <w:rsid w:val="00037640"/>
    <w:rsid w:val="00037699"/>
    <w:rsid w:val="00041475"/>
    <w:rsid w:val="0004197E"/>
    <w:rsid w:val="00041DDA"/>
    <w:rsid w:val="00042E7E"/>
    <w:rsid w:val="00042F0D"/>
    <w:rsid w:val="00044AE6"/>
    <w:rsid w:val="000452EB"/>
    <w:rsid w:val="00045C30"/>
    <w:rsid w:val="00046EA2"/>
    <w:rsid w:val="00047607"/>
    <w:rsid w:val="0005013F"/>
    <w:rsid w:val="00051E34"/>
    <w:rsid w:val="0005275B"/>
    <w:rsid w:val="0005335D"/>
    <w:rsid w:val="00053439"/>
    <w:rsid w:val="00054764"/>
    <w:rsid w:val="000555EE"/>
    <w:rsid w:val="00055986"/>
    <w:rsid w:val="00060196"/>
    <w:rsid w:val="0006039D"/>
    <w:rsid w:val="000607D9"/>
    <w:rsid w:val="00060BC9"/>
    <w:rsid w:val="000614C3"/>
    <w:rsid w:val="00061EBE"/>
    <w:rsid w:val="00062325"/>
    <w:rsid w:val="00062FF6"/>
    <w:rsid w:val="0006367B"/>
    <w:rsid w:val="00063B2F"/>
    <w:rsid w:val="00065293"/>
    <w:rsid w:val="0006695C"/>
    <w:rsid w:val="000675D0"/>
    <w:rsid w:val="00067D75"/>
    <w:rsid w:val="00070214"/>
    <w:rsid w:val="000703E1"/>
    <w:rsid w:val="000708C5"/>
    <w:rsid w:val="0007209D"/>
    <w:rsid w:val="0007291D"/>
    <w:rsid w:val="0007299B"/>
    <w:rsid w:val="00072B83"/>
    <w:rsid w:val="0007305C"/>
    <w:rsid w:val="00073CF2"/>
    <w:rsid w:val="000745AE"/>
    <w:rsid w:val="000755D8"/>
    <w:rsid w:val="00076CE8"/>
    <w:rsid w:val="0008109D"/>
    <w:rsid w:val="00081250"/>
    <w:rsid w:val="00081471"/>
    <w:rsid w:val="0008180F"/>
    <w:rsid w:val="0008270E"/>
    <w:rsid w:val="00082D09"/>
    <w:rsid w:val="00083C4F"/>
    <w:rsid w:val="000846FA"/>
    <w:rsid w:val="00084C49"/>
    <w:rsid w:val="00086451"/>
    <w:rsid w:val="000869C0"/>
    <w:rsid w:val="000869D1"/>
    <w:rsid w:val="000873E5"/>
    <w:rsid w:val="000905E2"/>
    <w:rsid w:val="000917F9"/>
    <w:rsid w:val="0009198C"/>
    <w:rsid w:val="00091C02"/>
    <w:rsid w:val="0009270D"/>
    <w:rsid w:val="00092CE0"/>
    <w:rsid w:val="00092E37"/>
    <w:rsid w:val="0009339E"/>
    <w:rsid w:val="00093738"/>
    <w:rsid w:val="00096FB7"/>
    <w:rsid w:val="0009743E"/>
    <w:rsid w:val="0009788F"/>
    <w:rsid w:val="00097F61"/>
    <w:rsid w:val="000A04B8"/>
    <w:rsid w:val="000A0F95"/>
    <w:rsid w:val="000A1081"/>
    <w:rsid w:val="000A16DA"/>
    <w:rsid w:val="000A1D54"/>
    <w:rsid w:val="000A2511"/>
    <w:rsid w:val="000A28EA"/>
    <w:rsid w:val="000A2CEA"/>
    <w:rsid w:val="000A32D6"/>
    <w:rsid w:val="000A3503"/>
    <w:rsid w:val="000A51BE"/>
    <w:rsid w:val="000A526C"/>
    <w:rsid w:val="000A5A39"/>
    <w:rsid w:val="000A5E9B"/>
    <w:rsid w:val="000A65A1"/>
    <w:rsid w:val="000B015A"/>
    <w:rsid w:val="000B03CE"/>
    <w:rsid w:val="000B0DF2"/>
    <w:rsid w:val="000B120E"/>
    <w:rsid w:val="000B2AB0"/>
    <w:rsid w:val="000B2CA4"/>
    <w:rsid w:val="000B40D6"/>
    <w:rsid w:val="000B4612"/>
    <w:rsid w:val="000B4F78"/>
    <w:rsid w:val="000B56F9"/>
    <w:rsid w:val="000B5878"/>
    <w:rsid w:val="000B5C09"/>
    <w:rsid w:val="000B5C33"/>
    <w:rsid w:val="000B5ED6"/>
    <w:rsid w:val="000B64E0"/>
    <w:rsid w:val="000B7F09"/>
    <w:rsid w:val="000C000C"/>
    <w:rsid w:val="000C067C"/>
    <w:rsid w:val="000C198B"/>
    <w:rsid w:val="000C20E8"/>
    <w:rsid w:val="000C2271"/>
    <w:rsid w:val="000C2291"/>
    <w:rsid w:val="000C2C04"/>
    <w:rsid w:val="000C425B"/>
    <w:rsid w:val="000C796A"/>
    <w:rsid w:val="000D1677"/>
    <w:rsid w:val="000D27A4"/>
    <w:rsid w:val="000D28DF"/>
    <w:rsid w:val="000D3210"/>
    <w:rsid w:val="000D346C"/>
    <w:rsid w:val="000D3482"/>
    <w:rsid w:val="000D35F2"/>
    <w:rsid w:val="000D3E21"/>
    <w:rsid w:val="000D41BB"/>
    <w:rsid w:val="000D4572"/>
    <w:rsid w:val="000D4752"/>
    <w:rsid w:val="000D4C05"/>
    <w:rsid w:val="000D502B"/>
    <w:rsid w:val="000D521E"/>
    <w:rsid w:val="000D527E"/>
    <w:rsid w:val="000D65F7"/>
    <w:rsid w:val="000D68A2"/>
    <w:rsid w:val="000D70CB"/>
    <w:rsid w:val="000D7993"/>
    <w:rsid w:val="000D7D21"/>
    <w:rsid w:val="000D7FB3"/>
    <w:rsid w:val="000E02BD"/>
    <w:rsid w:val="000E0303"/>
    <w:rsid w:val="000E06D7"/>
    <w:rsid w:val="000E0A8F"/>
    <w:rsid w:val="000E101A"/>
    <w:rsid w:val="000E21D6"/>
    <w:rsid w:val="000E35B9"/>
    <w:rsid w:val="000E46C0"/>
    <w:rsid w:val="000E4AAF"/>
    <w:rsid w:val="000E5309"/>
    <w:rsid w:val="000E5472"/>
    <w:rsid w:val="000E5D94"/>
    <w:rsid w:val="000E5FD4"/>
    <w:rsid w:val="000E6B8A"/>
    <w:rsid w:val="000E7A98"/>
    <w:rsid w:val="000E7ABF"/>
    <w:rsid w:val="000F0834"/>
    <w:rsid w:val="000F1ACB"/>
    <w:rsid w:val="000F1F1F"/>
    <w:rsid w:val="000F2954"/>
    <w:rsid w:val="000F337B"/>
    <w:rsid w:val="000F495F"/>
    <w:rsid w:val="000F4ADB"/>
    <w:rsid w:val="000F56FB"/>
    <w:rsid w:val="000F5767"/>
    <w:rsid w:val="000F57DA"/>
    <w:rsid w:val="000F613F"/>
    <w:rsid w:val="000F650D"/>
    <w:rsid w:val="000F6DDA"/>
    <w:rsid w:val="000F6F23"/>
    <w:rsid w:val="000F6F4F"/>
    <w:rsid w:val="000F776B"/>
    <w:rsid w:val="00101E0C"/>
    <w:rsid w:val="0010200A"/>
    <w:rsid w:val="00102028"/>
    <w:rsid w:val="0010260E"/>
    <w:rsid w:val="00102D0E"/>
    <w:rsid w:val="001048CB"/>
    <w:rsid w:val="00104A42"/>
    <w:rsid w:val="00106AA1"/>
    <w:rsid w:val="001102A4"/>
    <w:rsid w:val="001102D2"/>
    <w:rsid w:val="00110CC7"/>
    <w:rsid w:val="00111FF8"/>
    <w:rsid w:val="001127F6"/>
    <w:rsid w:val="00113B29"/>
    <w:rsid w:val="00113CE5"/>
    <w:rsid w:val="00114104"/>
    <w:rsid w:val="001141DD"/>
    <w:rsid w:val="00114632"/>
    <w:rsid w:val="00114B37"/>
    <w:rsid w:val="00115F2A"/>
    <w:rsid w:val="00115FBA"/>
    <w:rsid w:val="001161C9"/>
    <w:rsid w:val="00117C1E"/>
    <w:rsid w:val="00117D12"/>
    <w:rsid w:val="00121023"/>
    <w:rsid w:val="001215CA"/>
    <w:rsid w:val="001218C4"/>
    <w:rsid w:val="00121F78"/>
    <w:rsid w:val="00122530"/>
    <w:rsid w:val="00122843"/>
    <w:rsid w:val="00122CC4"/>
    <w:rsid w:val="001235FC"/>
    <w:rsid w:val="00123763"/>
    <w:rsid w:val="0012380E"/>
    <w:rsid w:val="00123B86"/>
    <w:rsid w:val="0012401C"/>
    <w:rsid w:val="001243B8"/>
    <w:rsid w:val="001244E0"/>
    <w:rsid w:val="0012496D"/>
    <w:rsid w:val="00124D52"/>
    <w:rsid w:val="0012593A"/>
    <w:rsid w:val="00126454"/>
    <w:rsid w:val="001264EA"/>
    <w:rsid w:val="00126AA6"/>
    <w:rsid w:val="001271BE"/>
    <w:rsid w:val="001277C8"/>
    <w:rsid w:val="001304EA"/>
    <w:rsid w:val="001309BC"/>
    <w:rsid w:val="0013133C"/>
    <w:rsid w:val="00131CA4"/>
    <w:rsid w:val="00132265"/>
    <w:rsid w:val="00133813"/>
    <w:rsid w:val="00134FFB"/>
    <w:rsid w:val="001357A8"/>
    <w:rsid w:val="00135F4D"/>
    <w:rsid w:val="0013640B"/>
    <w:rsid w:val="001364C1"/>
    <w:rsid w:val="001367D3"/>
    <w:rsid w:val="00136CB4"/>
    <w:rsid w:val="00136D65"/>
    <w:rsid w:val="001372B3"/>
    <w:rsid w:val="00137B9E"/>
    <w:rsid w:val="00137C29"/>
    <w:rsid w:val="00140817"/>
    <w:rsid w:val="001416B3"/>
    <w:rsid w:val="001421E4"/>
    <w:rsid w:val="00142E14"/>
    <w:rsid w:val="00143800"/>
    <w:rsid w:val="001438F4"/>
    <w:rsid w:val="00143927"/>
    <w:rsid w:val="00145801"/>
    <w:rsid w:val="00145A99"/>
    <w:rsid w:val="001462C7"/>
    <w:rsid w:val="0014688A"/>
    <w:rsid w:val="00146B4B"/>
    <w:rsid w:val="00146E63"/>
    <w:rsid w:val="00147086"/>
    <w:rsid w:val="00147956"/>
    <w:rsid w:val="00150629"/>
    <w:rsid w:val="00152523"/>
    <w:rsid w:val="00153412"/>
    <w:rsid w:val="00153441"/>
    <w:rsid w:val="00155B68"/>
    <w:rsid w:val="00155C21"/>
    <w:rsid w:val="00156896"/>
    <w:rsid w:val="001573F4"/>
    <w:rsid w:val="00157729"/>
    <w:rsid w:val="00160943"/>
    <w:rsid w:val="001627FD"/>
    <w:rsid w:val="001637F9"/>
    <w:rsid w:val="00163DF0"/>
    <w:rsid w:val="00164E99"/>
    <w:rsid w:val="001652B1"/>
    <w:rsid w:val="00165889"/>
    <w:rsid w:val="00165B2A"/>
    <w:rsid w:val="00165B7D"/>
    <w:rsid w:val="00166141"/>
    <w:rsid w:val="001679CF"/>
    <w:rsid w:val="001716A0"/>
    <w:rsid w:val="001719D3"/>
    <w:rsid w:val="0017227F"/>
    <w:rsid w:val="001722BD"/>
    <w:rsid w:val="0017261B"/>
    <w:rsid w:val="00172861"/>
    <w:rsid w:val="0017490C"/>
    <w:rsid w:val="00174972"/>
    <w:rsid w:val="001752C8"/>
    <w:rsid w:val="00175632"/>
    <w:rsid w:val="00175C1A"/>
    <w:rsid w:val="001767AE"/>
    <w:rsid w:val="001811E2"/>
    <w:rsid w:val="001825ED"/>
    <w:rsid w:val="00182A4D"/>
    <w:rsid w:val="001834D6"/>
    <w:rsid w:val="00183EFD"/>
    <w:rsid w:val="00186612"/>
    <w:rsid w:val="0018686F"/>
    <w:rsid w:val="00186D4B"/>
    <w:rsid w:val="00187C8F"/>
    <w:rsid w:val="00190EE1"/>
    <w:rsid w:val="001910B2"/>
    <w:rsid w:val="00191B3D"/>
    <w:rsid w:val="00191F4A"/>
    <w:rsid w:val="00192673"/>
    <w:rsid w:val="0019327D"/>
    <w:rsid w:val="001946C2"/>
    <w:rsid w:val="0019478E"/>
    <w:rsid w:val="001952E9"/>
    <w:rsid w:val="00195F3C"/>
    <w:rsid w:val="001967AF"/>
    <w:rsid w:val="001968CB"/>
    <w:rsid w:val="001968F9"/>
    <w:rsid w:val="001971D2"/>
    <w:rsid w:val="00197701"/>
    <w:rsid w:val="00197848"/>
    <w:rsid w:val="00197C1B"/>
    <w:rsid w:val="001A092C"/>
    <w:rsid w:val="001A0CE7"/>
    <w:rsid w:val="001A2E26"/>
    <w:rsid w:val="001A33C6"/>
    <w:rsid w:val="001A3B83"/>
    <w:rsid w:val="001A4228"/>
    <w:rsid w:val="001A4441"/>
    <w:rsid w:val="001A469D"/>
    <w:rsid w:val="001A4E34"/>
    <w:rsid w:val="001A52DB"/>
    <w:rsid w:val="001A5775"/>
    <w:rsid w:val="001A5D77"/>
    <w:rsid w:val="001A616D"/>
    <w:rsid w:val="001A713A"/>
    <w:rsid w:val="001B0019"/>
    <w:rsid w:val="001B00F7"/>
    <w:rsid w:val="001B0600"/>
    <w:rsid w:val="001B1081"/>
    <w:rsid w:val="001B1B52"/>
    <w:rsid w:val="001B2ED6"/>
    <w:rsid w:val="001B3297"/>
    <w:rsid w:val="001B3A3B"/>
    <w:rsid w:val="001B3B60"/>
    <w:rsid w:val="001B3E65"/>
    <w:rsid w:val="001B3E6B"/>
    <w:rsid w:val="001B516A"/>
    <w:rsid w:val="001B51B9"/>
    <w:rsid w:val="001B5207"/>
    <w:rsid w:val="001B5A97"/>
    <w:rsid w:val="001B74AC"/>
    <w:rsid w:val="001C00A5"/>
    <w:rsid w:val="001C06B9"/>
    <w:rsid w:val="001C142B"/>
    <w:rsid w:val="001C40B4"/>
    <w:rsid w:val="001C42C7"/>
    <w:rsid w:val="001C4322"/>
    <w:rsid w:val="001C5DB2"/>
    <w:rsid w:val="001C64DE"/>
    <w:rsid w:val="001C798A"/>
    <w:rsid w:val="001D02AA"/>
    <w:rsid w:val="001D0F2E"/>
    <w:rsid w:val="001D11AD"/>
    <w:rsid w:val="001D1481"/>
    <w:rsid w:val="001D1501"/>
    <w:rsid w:val="001D2825"/>
    <w:rsid w:val="001D2C58"/>
    <w:rsid w:val="001D2E97"/>
    <w:rsid w:val="001D4B60"/>
    <w:rsid w:val="001D5634"/>
    <w:rsid w:val="001D58A8"/>
    <w:rsid w:val="001D65B4"/>
    <w:rsid w:val="001D66CF"/>
    <w:rsid w:val="001D676A"/>
    <w:rsid w:val="001D679B"/>
    <w:rsid w:val="001D682D"/>
    <w:rsid w:val="001D770F"/>
    <w:rsid w:val="001E07FC"/>
    <w:rsid w:val="001E0DD5"/>
    <w:rsid w:val="001E0F1F"/>
    <w:rsid w:val="001E570C"/>
    <w:rsid w:val="001E57C6"/>
    <w:rsid w:val="001E6A69"/>
    <w:rsid w:val="001F032A"/>
    <w:rsid w:val="001F18CD"/>
    <w:rsid w:val="001F2F3C"/>
    <w:rsid w:val="001F3DE6"/>
    <w:rsid w:val="001F3E4C"/>
    <w:rsid w:val="001F3F61"/>
    <w:rsid w:val="001F4476"/>
    <w:rsid w:val="001F4D10"/>
    <w:rsid w:val="001F5CDB"/>
    <w:rsid w:val="001F66AE"/>
    <w:rsid w:val="001F6C9F"/>
    <w:rsid w:val="001F6D06"/>
    <w:rsid w:val="001F6E42"/>
    <w:rsid w:val="001F71B3"/>
    <w:rsid w:val="001F71BC"/>
    <w:rsid w:val="001F75BE"/>
    <w:rsid w:val="002008A2"/>
    <w:rsid w:val="0020296B"/>
    <w:rsid w:val="0020372E"/>
    <w:rsid w:val="00203F1E"/>
    <w:rsid w:val="00205EBF"/>
    <w:rsid w:val="00205FCF"/>
    <w:rsid w:val="002063FC"/>
    <w:rsid w:val="0020640A"/>
    <w:rsid w:val="00207133"/>
    <w:rsid w:val="002073C0"/>
    <w:rsid w:val="00207938"/>
    <w:rsid w:val="00207A71"/>
    <w:rsid w:val="00210F32"/>
    <w:rsid w:val="00212281"/>
    <w:rsid w:val="00212E47"/>
    <w:rsid w:val="00212F2B"/>
    <w:rsid w:val="0021341B"/>
    <w:rsid w:val="00213518"/>
    <w:rsid w:val="00213FA5"/>
    <w:rsid w:val="002142C4"/>
    <w:rsid w:val="002152E2"/>
    <w:rsid w:val="0021592D"/>
    <w:rsid w:val="00215D08"/>
    <w:rsid w:val="002167DE"/>
    <w:rsid w:val="00217EA2"/>
    <w:rsid w:val="0022016D"/>
    <w:rsid w:val="00221719"/>
    <w:rsid w:val="00221E44"/>
    <w:rsid w:val="00223145"/>
    <w:rsid w:val="00223B7A"/>
    <w:rsid w:val="00223DAE"/>
    <w:rsid w:val="00223F4D"/>
    <w:rsid w:val="00224A83"/>
    <w:rsid w:val="00225CD2"/>
    <w:rsid w:val="00225FF2"/>
    <w:rsid w:val="002272DF"/>
    <w:rsid w:val="002279F8"/>
    <w:rsid w:val="00227C6E"/>
    <w:rsid w:val="0023124F"/>
    <w:rsid w:val="0023170C"/>
    <w:rsid w:val="0023308D"/>
    <w:rsid w:val="0023425D"/>
    <w:rsid w:val="00235C69"/>
    <w:rsid w:val="00235F6D"/>
    <w:rsid w:val="0023604C"/>
    <w:rsid w:val="0023663A"/>
    <w:rsid w:val="00236A1B"/>
    <w:rsid w:val="00236AC2"/>
    <w:rsid w:val="00237031"/>
    <w:rsid w:val="00237416"/>
    <w:rsid w:val="0023781D"/>
    <w:rsid w:val="00237A25"/>
    <w:rsid w:val="002404D4"/>
    <w:rsid w:val="002409BC"/>
    <w:rsid w:val="00241219"/>
    <w:rsid w:val="00241B8E"/>
    <w:rsid w:val="002421A2"/>
    <w:rsid w:val="00242675"/>
    <w:rsid w:val="00242857"/>
    <w:rsid w:val="00242A56"/>
    <w:rsid w:val="00243167"/>
    <w:rsid w:val="00243E74"/>
    <w:rsid w:val="00244376"/>
    <w:rsid w:val="00245823"/>
    <w:rsid w:val="0024673F"/>
    <w:rsid w:val="00246985"/>
    <w:rsid w:val="00246E59"/>
    <w:rsid w:val="0024729F"/>
    <w:rsid w:val="00247876"/>
    <w:rsid w:val="00250887"/>
    <w:rsid w:val="002516FE"/>
    <w:rsid w:val="00252612"/>
    <w:rsid w:val="00252F5C"/>
    <w:rsid w:val="00252F84"/>
    <w:rsid w:val="00253362"/>
    <w:rsid w:val="00253DF2"/>
    <w:rsid w:val="00254CEF"/>
    <w:rsid w:val="00255453"/>
    <w:rsid w:val="00256E99"/>
    <w:rsid w:val="00256FA1"/>
    <w:rsid w:val="00257BAB"/>
    <w:rsid w:val="00260317"/>
    <w:rsid w:val="002613E6"/>
    <w:rsid w:val="00262BA4"/>
    <w:rsid w:val="00263266"/>
    <w:rsid w:val="002632BA"/>
    <w:rsid w:val="0026359B"/>
    <w:rsid w:val="00263627"/>
    <w:rsid w:val="00264F6A"/>
    <w:rsid w:val="00264F81"/>
    <w:rsid w:val="00266F92"/>
    <w:rsid w:val="00271B8A"/>
    <w:rsid w:val="002722D1"/>
    <w:rsid w:val="00272AAA"/>
    <w:rsid w:val="00272B8B"/>
    <w:rsid w:val="00273098"/>
    <w:rsid w:val="00273147"/>
    <w:rsid w:val="00273266"/>
    <w:rsid w:val="002749E1"/>
    <w:rsid w:val="00274A62"/>
    <w:rsid w:val="002759A9"/>
    <w:rsid w:val="00275DE5"/>
    <w:rsid w:val="002763A3"/>
    <w:rsid w:val="00276BCA"/>
    <w:rsid w:val="002778C6"/>
    <w:rsid w:val="00280C5F"/>
    <w:rsid w:val="00283457"/>
    <w:rsid w:val="00283B18"/>
    <w:rsid w:val="00283CA5"/>
    <w:rsid w:val="00285792"/>
    <w:rsid w:val="00285CFB"/>
    <w:rsid w:val="002865DA"/>
    <w:rsid w:val="002867AD"/>
    <w:rsid w:val="00286DD5"/>
    <w:rsid w:val="00287F2E"/>
    <w:rsid w:val="00290102"/>
    <w:rsid w:val="002907AB"/>
    <w:rsid w:val="00290B63"/>
    <w:rsid w:val="002912F0"/>
    <w:rsid w:val="0029166F"/>
    <w:rsid w:val="002923D1"/>
    <w:rsid w:val="00293D68"/>
    <w:rsid w:val="00293F38"/>
    <w:rsid w:val="00295343"/>
    <w:rsid w:val="00295ABC"/>
    <w:rsid w:val="00295AC7"/>
    <w:rsid w:val="00297829"/>
    <w:rsid w:val="002A00D8"/>
    <w:rsid w:val="002A01EB"/>
    <w:rsid w:val="002A0CB9"/>
    <w:rsid w:val="002A0DE6"/>
    <w:rsid w:val="002A10DC"/>
    <w:rsid w:val="002A25F5"/>
    <w:rsid w:val="002A2C4E"/>
    <w:rsid w:val="002A4028"/>
    <w:rsid w:val="002A6831"/>
    <w:rsid w:val="002A6C61"/>
    <w:rsid w:val="002A6EC0"/>
    <w:rsid w:val="002A748C"/>
    <w:rsid w:val="002A7A11"/>
    <w:rsid w:val="002B26B7"/>
    <w:rsid w:val="002B2D2B"/>
    <w:rsid w:val="002B31B3"/>
    <w:rsid w:val="002B3D39"/>
    <w:rsid w:val="002B3D8D"/>
    <w:rsid w:val="002B4751"/>
    <w:rsid w:val="002B47C3"/>
    <w:rsid w:val="002B517B"/>
    <w:rsid w:val="002B51E8"/>
    <w:rsid w:val="002B5727"/>
    <w:rsid w:val="002B6563"/>
    <w:rsid w:val="002B7B0F"/>
    <w:rsid w:val="002C0AEB"/>
    <w:rsid w:val="002C1167"/>
    <w:rsid w:val="002C2C1F"/>
    <w:rsid w:val="002C40EC"/>
    <w:rsid w:val="002C4194"/>
    <w:rsid w:val="002C511C"/>
    <w:rsid w:val="002C52F4"/>
    <w:rsid w:val="002C60B4"/>
    <w:rsid w:val="002C687C"/>
    <w:rsid w:val="002C6D36"/>
    <w:rsid w:val="002C7B67"/>
    <w:rsid w:val="002C7B96"/>
    <w:rsid w:val="002D001B"/>
    <w:rsid w:val="002D1DDB"/>
    <w:rsid w:val="002D1E50"/>
    <w:rsid w:val="002D2088"/>
    <w:rsid w:val="002D22C2"/>
    <w:rsid w:val="002D2F7F"/>
    <w:rsid w:val="002D32A5"/>
    <w:rsid w:val="002D3B1A"/>
    <w:rsid w:val="002D40AA"/>
    <w:rsid w:val="002D58F9"/>
    <w:rsid w:val="002D5F71"/>
    <w:rsid w:val="002D6BF9"/>
    <w:rsid w:val="002D6DA0"/>
    <w:rsid w:val="002D7296"/>
    <w:rsid w:val="002D7C3D"/>
    <w:rsid w:val="002E13C6"/>
    <w:rsid w:val="002E16C1"/>
    <w:rsid w:val="002E17DD"/>
    <w:rsid w:val="002E2D06"/>
    <w:rsid w:val="002E3129"/>
    <w:rsid w:val="002E3A36"/>
    <w:rsid w:val="002E4134"/>
    <w:rsid w:val="002E5E7A"/>
    <w:rsid w:val="002E6BD5"/>
    <w:rsid w:val="002F07F9"/>
    <w:rsid w:val="002F110B"/>
    <w:rsid w:val="002F1423"/>
    <w:rsid w:val="002F15FE"/>
    <w:rsid w:val="002F266C"/>
    <w:rsid w:val="002F2D0A"/>
    <w:rsid w:val="002F2F27"/>
    <w:rsid w:val="002F7AE6"/>
    <w:rsid w:val="002F7B88"/>
    <w:rsid w:val="002F7C05"/>
    <w:rsid w:val="003000CF"/>
    <w:rsid w:val="00300D15"/>
    <w:rsid w:val="003014BB"/>
    <w:rsid w:val="003015D6"/>
    <w:rsid w:val="00302C7A"/>
    <w:rsid w:val="0030324B"/>
    <w:rsid w:val="00304403"/>
    <w:rsid w:val="0030453E"/>
    <w:rsid w:val="00304E2C"/>
    <w:rsid w:val="00304F3C"/>
    <w:rsid w:val="00305451"/>
    <w:rsid w:val="00305722"/>
    <w:rsid w:val="003062EE"/>
    <w:rsid w:val="003067D7"/>
    <w:rsid w:val="00307EAC"/>
    <w:rsid w:val="00311BB8"/>
    <w:rsid w:val="00311EC8"/>
    <w:rsid w:val="00313819"/>
    <w:rsid w:val="0031386D"/>
    <w:rsid w:val="00313EC7"/>
    <w:rsid w:val="00314921"/>
    <w:rsid w:val="00314936"/>
    <w:rsid w:val="00314D7D"/>
    <w:rsid w:val="00316CB2"/>
    <w:rsid w:val="00316D39"/>
    <w:rsid w:val="00316F45"/>
    <w:rsid w:val="0031716D"/>
    <w:rsid w:val="003179C3"/>
    <w:rsid w:val="003217BC"/>
    <w:rsid w:val="00321DDE"/>
    <w:rsid w:val="0032335F"/>
    <w:rsid w:val="00323CB2"/>
    <w:rsid w:val="0032410F"/>
    <w:rsid w:val="003245B9"/>
    <w:rsid w:val="003263FB"/>
    <w:rsid w:val="0032784F"/>
    <w:rsid w:val="00330919"/>
    <w:rsid w:val="00330DA4"/>
    <w:rsid w:val="003313DA"/>
    <w:rsid w:val="003316EB"/>
    <w:rsid w:val="0033183C"/>
    <w:rsid w:val="0033194A"/>
    <w:rsid w:val="003322FD"/>
    <w:rsid w:val="0033353C"/>
    <w:rsid w:val="00333862"/>
    <w:rsid w:val="00334768"/>
    <w:rsid w:val="003350AF"/>
    <w:rsid w:val="003356CD"/>
    <w:rsid w:val="003358A8"/>
    <w:rsid w:val="00335C58"/>
    <w:rsid w:val="00336018"/>
    <w:rsid w:val="0033622E"/>
    <w:rsid w:val="00336823"/>
    <w:rsid w:val="00336F25"/>
    <w:rsid w:val="00340297"/>
    <w:rsid w:val="00341479"/>
    <w:rsid w:val="003468BD"/>
    <w:rsid w:val="00347E13"/>
    <w:rsid w:val="003503CE"/>
    <w:rsid w:val="0035053B"/>
    <w:rsid w:val="00350EF3"/>
    <w:rsid w:val="00351442"/>
    <w:rsid w:val="003515B7"/>
    <w:rsid w:val="00351C08"/>
    <w:rsid w:val="00351CA3"/>
    <w:rsid w:val="0035226B"/>
    <w:rsid w:val="003533DB"/>
    <w:rsid w:val="003539CD"/>
    <w:rsid w:val="003556D6"/>
    <w:rsid w:val="00355D89"/>
    <w:rsid w:val="00356F43"/>
    <w:rsid w:val="00360081"/>
    <w:rsid w:val="003604F2"/>
    <w:rsid w:val="00360B90"/>
    <w:rsid w:val="00360CF2"/>
    <w:rsid w:val="0036106B"/>
    <w:rsid w:val="00361AFC"/>
    <w:rsid w:val="003622AA"/>
    <w:rsid w:val="00362E03"/>
    <w:rsid w:val="00363268"/>
    <w:rsid w:val="00364960"/>
    <w:rsid w:val="00364CEF"/>
    <w:rsid w:val="00364EF3"/>
    <w:rsid w:val="0036522F"/>
    <w:rsid w:val="00365364"/>
    <w:rsid w:val="003656EB"/>
    <w:rsid w:val="003663AB"/>
    <w:rsid w:val="003668AC"/>
    <w:rsid w:val="00366A2D"/>
    <w:rsid w:val="0036743E"/>
    <w:rsid w:val="0037077B"/>
    <w:rsid w:val="00370C4D"/>
    <w:rsid w:val="00371942"/>
    <w:rsid w:val="00371F25"/>
    <w:rsid w:val="003725CF"/>
    <w:rsid w:val="003735BD"/>
    <w:rsid w:val="00373AB9"/>
    <w:rsid w:val="00374FA5"/>
    <w:rsid w:val="003756FE"/>
    <w:rsid w:val="0037621B"/>
    <w:rsid w:val="00377218"/>
    <w:rsid w:val="00377D0B"/>
    <w:rsid w:val="0038013F"/>
    <w:rsid w:val="0038027C"/>
    <w:rsid w:val="003827E2"/>
    <w:rsid w:val="0038497C"/>
    <w:rsid w:val="00385AFF"/>
    <w:rsid w:val="00385C67"/>
    <w:rsid w:val="00385D4B"/>
    <w:rsid w:val="003869E6"/>
    <w:rsid w:val="003904CB"/>
    <w:rsid w:val="00390D38"/>
    <w:rsid w:val="0039128A"/>
    <w:rsid w:val="0039176D"/>
    <w:rsid w:val="003918AC"/>
    <w:rsid w:val="00391DB0"/>
    <w:rsid w:val="0039224A"/>
    <w:rsid w:val="003926D3"/>
    <w:rsid w:val="00392DB5"/>
    <w:rsid w:val="0039325E"/>
    <w:rsid w:val="00393AEE"/>
    <w:rsid w:val="00393DA9"/>
    <w:rsid w:val="0039487A"/>
    <w:rsid w:val="00394C5E"/>
    <w:rsid w:val="00396102"/>
    <w:rsid w:val="003969F5"/>
    <w:rsid w:val="00396BED"/>
    <w:rsid w:val="003A04EC"/>
    <w:rsid w:val="003A0741"/>
    <w:rsid w:val="003A0A78"/>
    <w:rsid w:val="003A16EA"/>
    <w:rsid w:val="003A4BA9"/>
    <w:rsid w:val="003A4E54"/>
    <w:rsid w:val="003A5122"/>
    <w:rsid w:val="003A53EF"/>
    <w:rsid w:val="003A5904"/>
    <w:rsid w:val="003A5BBF"/>
    <w:rsid w:val="003A636C"/>
    <w:rsid w:val="003A675E"/>
    <w:rsid w:val="003A6A16"/>
    <w:rsid w:val="003A6A61"/>
    <w:rsid w:val="003A721F"/>
    <w:rsid w:val="003A7438"/>
    <w:rsid w:val="003A76E0"/>
    <w:rsid w:val="003A7A2F"/>
    <w:rsid w:val="003A7D3B"/>
    <w:rsid w:val="003B07FE"/>
    <w:rsid w:val="003B08ED"/>
    <w:rsid w:val="003B1034"/>
    <w:rsid w:val="003B1D07"/>
    <w:rsid w:val="003B228C"/>
    <w:rsid w:val="003B2581"/>
    <w:rsid w:val="003B47C2"/>
    <w:rsid w:val="003B47CD"/>
    <w:rsid w:val="003B5AD2"/>
    <w:rsid w:val="003B605D"/>
    <w:rsid w:val="003B6269"/>
    <w:rsid w:val="003B6FBA"/>
    <w:rsid w:val="003B7A7B"/>
    <w:rsid w:val="003B7B9E"/>
    <w:rsid w:val="003B7C74"/>
    <w:rsid w:val="003C0C8F"/>
    <w:rsid w:val="003C0CFF"/>
    <w:rsid w:val="003C16A0"/>
    <w:rsid w:val="003C3DE6"/>
    <w:rsid w:val="003C446F"/>
    <w:rsid w:val="003C5448"/>
    <w:rsid w:val="003C549B"/>
    <w:rsid w:val="003D00FB"/>
    <w:rsid w:val="003D0871"/>
    <w:rsid w:val="003D0D44"/>
    <w:rsid w:val="003D1710"/>
    <w:rsid w:val="003D4E3F"/>
    <w:rsid w:val="003D5A5D"/>
    <w:rsid w:val="003D5F59"/>
    <w:rsid w:val="003D6066"/>
    <w:rsid w:val="003D6C60"/>
    <w:rsid w:val="003D753B"/>
    <w:rsid w:val="003E039F"/>
    <w:rsid w:val="003E1B07"/>
    <w:rsid w:val="003E26DF"/>
    <w:rsid w:val="003E26E2"/>
    <w:rsid w:val="003E30F7"/>
    <w:rsid w:val="003E38FA"/>
    <w:rsid w:val="003E6324"/>
    <w:rsid w:val="003E65BB"/>
    <w:rsid w:val="003E6772"/>
    <w:rsid w:val="003E6D4F"/>
    <w:rsid w:val="003E6FE3"/>
    <w:rsid w:val="003E7A7B"/>
    <w:rsid w:val="003E7B8A"/>
    <w:rsid w:val="003F2057"/>
    <w:rsid w:val="003F3F1B"/>
    <w:rsid w:val="003F59E2"/>
    <w:rsid w:val="003F64A4"/>
    <w:rsid w:val="003F6DD6"/>
    <w:rsid w:val="003F6F04"/>
    <w:rsid w:val="003F6F69"/>
    <w:rsid w:val="00400464"/>
    <w:rsid w:val="00401518"/>
    <w:rsid w:val="00401817"/>
    <w:rsid w:val="004028E9"/>
    <w:rsid w:val="00403759"/>
    <w:rsid w:val="00404216"/>
    <w:rsid w:val="00404E5F"/>
    <w:rsid w:val="004051A2"/>
    <w:rsid w:val="00405321"/>
    <w:rsid w:val="00405EB7"/>
    <w:rsid w:val="00410D2A"/>
    <w:rsid w:val="00410DC7"/>
    <w:rsid w:val="00411628"/>
    <w:rsid w:val="004128D9"/>
    <w:rsid w:val="00412B20"/>
    <w:rsid w:val="004131D2"/>
    <w:rsid w:val="00413B3E"/>
    <w:rsid w:val="00413E60"/>
    <w:rsid w:val="00414D45"/>
    <w:rsid w:val="00415404"/>
    <w:rsid w:val="00415983"/>
    <w:rsid w:val="00416219"/>
    <w:rsid w:val="00416A8A"/>
    <w:rsid w:val="00416C2C"/>
    <w:rsid w:val="00417713"/>
    <w:rsid w:val="00420854"/>
    <w:rsid w:val="00420B76"/>
    <w:rsid w:val="004218D9"/>
    <w:rsid w:val="00421DEF"/>
    <w:rsid w:val="004226B4"/>
    <w:rsid w:val="00422E40"/>
    <w:rsid w:val="0042467F"/>
    <w:rsid w:val="00426B0B"/>
    <w:rsid w:val="0042778D"/>
    <w:rsid w:val="00430E39"/>
    <w:rsid w:val="00431612"/>
    <w:rsid w:val="00431E34"/>
    <w:rsid w:val="00432209"/>
    <w:rsid w:val="00432762"/>
    <w:rsid w:val="00432E54"/>
    <w:rsid w:val="00432F2D"/>
    <w:rsid w:val="00433B8A"/>
    <w:rsid w:val="004343AE"/>
    <w:rsid w:val="004359D9"/>
    <w:rsid w:val="00435DD6"/>
    <w:rsid w:val="00435EC8"/>
    <w:rsid w:val="00436B40"/>
    <w:rsid w:val="004377CB"/>
    <w:rsid w:val="004403F6"/>
    <w:rsid w:val="004431BC"/>
    <w:rsid w:val="004431CF"/>
    <w:rsid w:val="00445182"/>
    <w:rsid w:val="004453BF"/>
    <w:rsid w:val="004463C3"/>
    <w:rsid w:val="00446ED1"/>
    <w:rsid w:val="00446F75"/>
    <w:rsid w:val="00447008"/>
    <w:rsid w:val="00450998"/>
    <w:rsid w:val="00450E78"/>
    <w:rsid w:val="00451004"/>
    <w:rsid w:val="004512C7"/>
    <w:rsid w:val="004515F4"/>
    <w:rsid w:val="0045170C"/>
    <w:rsid w:val="0045192A"/>
    <w:rsid w:val="00451D0E"/>
    <w:rsid w:val="00451FB4"/>
    <w:rsid w:val="00452DEC"/>
    <w:rsid w:val="00452E81"/>
    <w:rsid w:val="00453391"/>
    <w:rsid w:val="004540EA"/>
    <w:rsid w:val="00455097"/>
    <w:rsid w:val="0045572F"/>
    <w:rsid w:val="00455EB2"/>
    <w:rsid w:val="00456230"/>
    <w:rsid w:val="00456482"/>
    <w:rsid w:val="0045708F"/>
    <w:rsid w:val="00457D28"/>
    <w:rsid w:val="004607FC"/>
    <w:rsid w:val="00460B6C"/>
    <w:rsid w:val="004617DF"/>
    <w:rsid w:val="004619A5"/>
    <w:rsid w:val="00461FA6"/>
    <w:rsid w:val="00462A10"/>
    <w:rsid w:val="00462D21"/>
    <w:rsid w:val="00462FD7"/>
    <w:rsid w:val="004644B6"/>
    <w:rsid w:val="0046510F"/>
    <w:rsid w:val="004664EE"/>
    <w:rsid w:val="00467619"/>
    <w:rsid w:val="00467769"/>
    <w:rsid w:val="00467D00"/>
    <w:rsid w:val="004704CE"/>
    <w:rsid w:val="004706D9"/>
    <w:rsid w:val="004727DF"/>
    <w:rsid w:val="00472E7F"/>
    <w:rsid w:val="004731C4"/>
    <w:rsid w:val="004736A1"/>
    <w:rsid w:val="0047378A"/>
    <w:rsid w:val="00474084"/>
    <w:rsid w:val="00474557"/>
    <w:rsid w:val="00474AA5"/>
    <w:rsid w:val="0047566A"/>
    <w:rsid w:val="004768A4"/>
    <w:rsid w:val="00477737"/>
    <w:rsid w:val="00480598"/>
    <w:rsid w:val="004805BF"/>
    <w:rsid w:val="00480E81"/>
    <w:rsid w:val="00481C77"/>
    <w:rsid w:val="00481D57"/>
    <w:rsid w:val="00482E05"/>
    <w:rsid w:val="004833C2"/>
    <w:rsid w:val="004850AB"/>
    <w:rsid w:val="00485554"/>
    <w:rsid w:val="00485729"/>
    <w:rsid w:val="0048687B"/>
    <w:rsid w:val="00490143"/>
    <w:rsid w:val="00490B6D"/>
    <w:rsid w:val="00490E76"/>
    <w:rsid w:val="00492051"/>
    <w:rsid w:val="00492E6E"/>
    <w:rsid w:val="00492EE9"/>
    <w:rsid w:val="004935B7"/>
    <w:rsid w:val="00493BAA"/>
    <w:rsid w:val="00493F41"/>
    <w:rsid w:val="004A1020"/>
    <w:rsid w:val="004A1163"/>
    <w:rsid w:val="004A2118"/>
    <w:rsid w:val="004A2802"/>
    <w:rsid w:val="004A2D23"/>
    <w:rsid w:val="004A3521"/>
    <w:rsid w:val="004A3650"/>
    <w:rsid w:val="004A403D"/>
    <w:rsid w:val="004A490F"/>
    <w:rsid w:val="004A5F57"/>
    <w:rsid w:val="004A5FB0"/>
    <w:rsid w:val="004A5FBA"/>
    <w:rsid w:val="004A6556"/>
    <w:rsid w:val="004A683D"/>
    <w:rsid w:val="004A71E9"/>
    <w:rsid w:val="004A7B38"/>
    <w:rsid w:val="004B0995"/>
    <w:rsid w:val="004B0AF4"/>
    <w:rsid w:val="004B1A40"/>
    <w:rsid w:val="004B201F"/>
    <w:rsid w:val="004B2E0A"/>
    <w:rsid w:val="004B2E27"/>
    <w:rsid w:val="004B4CE2"/>
    <w:rsid w:val="004B53DF"/>
    <w:rsid w:val="004B5C7B"/>
    <w:rsid w:val="004B6115"/>
    <w:rsid w:val="004B7035"/>
    <w:rsid w:val="004C0F30"/>
    <w:rsid w:val="004C1DF2"/>
    <w:rsid w:val="004C2C99"/>
    <w:rsid w:val="004C2E71"/>
    <w:rsid w:val="004C3079"/>
    <w:rsid w:val="004C3EE1"/>
    <w:rsid w:val="004C4C9F"/>
    <w:rsid w:val="004C5291"/>
    <w:rsid w:val="004C5782"/>
    <w:rsid w:val="004C612F"/>
    <w:rsid w:val="004C6E75"/>
    <w:rsid w:val="004C73C9"/>
    <w:rsid w:val="004D05EF"/>
    <w:rsid w:val="004D08B2"/>
    <w:rsid w:val="004D0C03"/>
    <w:rsid w:val="004D1054"/>
    <w:rsid w:val="004D1AA1"/>
    <w:rsid w:val="004D2FB8"/>
    <w:rsid w:val="004D31A8"/>
    <w:rsid w:val="004D3337"/>
    <w:rsid w:val="004D33C0"/>
    <w:rsid w:val="004D4177"/>
    <w:rsid w:val="004D4B85"/>
    <w:rsid w:val="004D5478"/>
    <w:rsid w:val="004D5773"/>
    <w:rsid w:val="004D759A"/>
    <w:rsid w:val="004D7CEA"/>
    <w:rsid w:val="004E1019"/>
    <w:rsid w:val="004E126B"/>
    <w:rsid w:val="004E2208"/>
    <w:rsid w:val="004E2857"/>
    <w:rsid w:val="004E339C"/>
    <w:rsid w:val="004E345B"/>
    <w:rsid w:val="004E3B83"/>
    <w:rsid w:val="004E449A"/>
    <w:rsid w:val="004E4CAF"/>
    <w:rsid w:val="004E4EAA"/>
    <w:rsid w:val="004E66DB"/>
    <w:rsid w:val="004F009A"/>
    <w:rsid w:val="004F088B"/>
    <w:rsid w:val="004F121A"/>
    <w:rsid w:val="004F14E1"/>
    <w:rsid w:val="004F18C2"/>
    <w:rsid w:val="004F1B0D"/>
    <w:rsid w:val="004F1B69"/>
    <w:rsid w:val="004F226B"/>
    <w:rsid w:val="004F2436"/>
    <w:rsid w:val="004F2A98"/>
    <w:rsid w:val="004F320C"/>
    <w:rsid w:val="004F392A"/>
    <w:rsid w:val="004F3FB9"/>
    <w:rsid w:val="004F4707"/>
    <w:rsid w:val="004F6005"/>
    <w:rsid w:val="004F66C7"/>
    <w:rsid w:val="004F6E59"/>
    <w:rsid w:val="004F6F88"/>
    <w:rsid w:val="004F774B"/>
    <w:rsid w:val="0050103D"/>
    <w:rsid w:val="0050165D"/>
    <w:rsid w:val="00501775"/>
    <w:rsid w:val="00501783"/>
    <w:rsid w:val="00501BD9"/>
    <w:rsid w:val="0050275A"/>
    <w:rsid w:val="00503616"/>
    <w:rsid w:val="00503ABC"/>
    <w:rsid w:val="00505D21"/>
    <w:rsid w:val="005066F5"/>
    <w:rsid w:val="00506EC7"/>
    <w:rsid w:val="00506F70"/>
    <w:rsid w:val="005070C1"/>
    <w:rsid w:val="005077A1"/>
    <w:rsid w:val="00507B5C"/>
    <w:rsid w:val="00510360"/>
    <w:rsid w:val="0051204A"/>
    <w:rsid w:val="00512073"/>
    <w:rsid w:val="00512A7B"/>
    <w:rsid w:val="00512F11"/>
    <w:rsid w:val="0051305F"/>
    <w:rsid w:val="0051345F"/>
    <w:rsid w:val="00513DDB"/>
    <w:rsid w:val="00515C54"/>
    <w:rsid w:val="005160F6"/>
    <w:rsid w:val="00516BF9"/>
    <w:rsid w:val="00516F60"/>
    <w:rsid w:val="005201F9"/>
    <w:rsid w:val="00521041"/>
    <w:rsid w:val="005217B2"/>
    <w:rsid w:val="00524F36"/>
    <w:rsid w:val="005260AE"/>
    <w:rsid w:val="0052663E"/>
    <w:rsid w:val="00527560"/>
    <w:rsid w:val="005278AA"/>
    <w:rsid w:val="00527CE1"/>
    <w:rsid w:val="00532CC0"/>
    <w:rsid w:val="005335C5"/>
    <w:rsid w:val="0053386F"/>
    <w:rsid w:val="00534A09"/>
    <w:rsid w:val="00534AF0"/>
    <w:rsid w:val="00535504"/>
    <w:rsid w:val="00537C2F"/>
    <w:rsid w:val="00537E75"/>
    <w:rsid w:val="00541123"/>
    <w:rsid w:val="005411EC"/>
    <w:rsid w:val="005411FF"/>
    <w:rsid w:val="00541A73"/>
    <w:rsid w:val="005439A6"/>
    <w:rsid w:val="005442A9"/>
    <w:rsid w:val="0054456D"/>
    <w:rsid w:val="0054475C"/>
    <w:rsid w:val="00544968"/>
    <w:rsid w:val="00545AE9"/>
    <w:rsid w:val="005461DA"/>
    <w:rsid w:val="00547B6B"/>
    <w:rsid w:val="005523FD"/>
    <w:rsid w:val="00552B67"/>
    <w:rsid w:val="00553B39"/>
    <w:rsid w:val="00553DC0"/>
    <w:rsid w:val="00553EAD"/>
    <w:rsid w:val="005549F5"/>
    <w:rsid w:val="00557E68"/>
    <w:rsid w:val="00560619"/>
    <w:rsid w:val="00560BF7"/>
    <w:rsid w:val="00560D9E"/>
    <w:rsid w:val="00561058"/>
    <w:rsid w:val="0056134B"/>
    <w:rsid w:val="00561842"/>
    <w:rsid w:val="00561DA1"/>
    <w:rsid w:val="00561E59"/>
    <w:rsid w:val="005638E5"/>
    <w:rsid w:val="00564317"/>
    <w:rsid w:val="005644E5"/>
    <w:rsid w:val="00564EFD"/>
    <w:rsid w:val="00565233"/>
    <w:rsid w:val="0056662E"/>
    <w:rsid w:val="00566DF8"/>
    <w:rsid w:val="00567881"/>
    <w:rsid w:val="00570432"/>
    <w:rsid w:val="0057047E"/>
    <w:rsid w:val="0057161D"/>
    <w:rsid w:val="0057334C"/>
    <w:rsid w:val="00573D5B"/>
    <w:rsid w:val="005746D2"/>
    <w:rsid w:val="00574BAD"/>
    <w:rsid w:val="00575D6A"/>
    <w:rsid w:val="00575EC8"/>
    <w:rsid w:val="0057679F"/>
    <w:rsid w:val="005776C1"/>
    <w:rsid w:val="00580016"/>
    <w:rsid w:val="00580167"/>
    <w:rsid w:val="00582E25"/>
    <w:rsid w:val="00583EC8"/>
    <w:rsid w:val="005841D5"/>
    <w:rsid w:val="005844D1"/>
    <w:rsid w:val="0058524B"/>
    <w:rsid w:val="0058549B"/>
    <w:rsid w:val="0058575C"/>
    <w:rsid w:val="00585800"/>
    <w:rsid w:val="00585B66"/>
    <w:rsid w:val="00585C67"/>
    <w:rsid w:val="005865B9"/>
    <w:rsid w:val="00586E23"/>
    <w:rsid w:val="0058731B"/>
    <w:rsid w:val="00587F6F"/>
    <w:rsid w:val="0059014E"/>
    <w:rsid w:val="00592ED1"/>
    <w:rsid w:val="00593FC4"/>
    <w:rsid w:val="00595D49"/>
    <w:rsid w:val="005A08D7"/>
    <w:rsid w:val="005A17A8"/>
    <w:rsid w:val="005A45AB"/>
    <w:rsid w:val="005A4B13"/>
    <w:rsid w:val="005A5925"/>
    <w:rsid w:val="005A5BC9"/>
    <w:rsid w:val="005A7CAB"/>
    <w:rsid w:val="005B04C9"/>
    <w:rsid w:val="005B0671"/>
    <w:rsid w:val="005B1DB1"/>
    <w:rsid w:val="005B1EFE"/>
    <w:rsid w:val="005B2DCE"/>
    <w:rsid w:val="005B3466"/>
    <w:rsid w:val="005B38A6"/>
    <w:rsid w:val="005B3B04"/>
    <w:rsid w:val="005B42E1"/>
    <w:rsid w:val="005B47DC"/>
    <w:rsid w:val="005B509C"/>
    <w:rsid w:val="005B5CAB"/>
    <w:rsid w:val="005B6A4E"/>
    <w:rsid w:val="005B76DB"/>
    <w:rsid w:val="005B7E3D"/>
    <w:rsid w:val="005C0B39"/>
    <w:rsid w:val="005C0E72"/>
    <w:rsid w:val="005C1482"/>
    <w:rsid w:val="005C1735"/>
    <w:rsid w:val="005C3A04"/>
    <w:rsid w:val="005C3D27"/>
    <w:rsid w:val="005C738E"/>
    <w:rsid w:val="005C7AE7"/>
    <w:rsid w:val="005D09B0"/>
    <w:rsid w:val="005D1D9B"/>
    <w:rsid w:val="005D321A"/>
    <w:rsid w:val="005D379C"/>
    <w:rsid w:val="005D482C"/>
    <w:rsid w:val="005D4FC7"/>
    <w:rsid w:val="005D5CFE"/>
    <w:rsid w:val="005D60EE"/>
    <w:rsid w:val="005D6A4B"/>
    <w:rsid w:val="005D6F58"/>
    <w:rsid w:val="005D77B2"/>
    <w:rsid w:val="005D77B7"/>
    <w:rsid w:val="005D7DA7"/>
    <w:rsid w:val="005D7DF7"/>
    <w:rsid w:val="005D7E58"/>
    <w:rsid w:val="005E0590"/>
    <w:rsid w:val="005E102F"/>
    <w:rsid w:val="005E1B12"/>
    <w:rsid w:val="005E254D"/>
    <w:rsid w:val="005E4136"/>
    <w:rsid w:val="005E5837"/>
    <w:rsid w:val="005F0174"/>
    <w:rsid w:val="005F0495"/>
    <w:rsid w:val="005F078E"/>
    <w:rsid w:val="005F1350"/>
    <w:rsid w:val="005F2B6F"/>
    <w:rsid w:val="005F2C98"/>
    <w:rsid w:val="005F4A07"/>
    <w:rsid w:val="005F4EF1"/>
    <w:rsid w:val="005F5F56"/>
    <w:rsid w:val="005F6431"/>
    <w:rsid w:val="005F6CAA"/>
    <w:rsid w:val="005F7C22"/>
    <w:rsid w:val="005F7C46"/>
    <w:rsid w:val="006001AE"/>
    <w:rsid w:val="00600263"/>
    <w:rsid w:val="00600285"/>
    <w:rsid w:val="006008B2"/>
    <w:rsid w:val="00602947"/>
    <w:rsid w:val="00602A6F"/>
    <w:rsid w:val="00603456"/>
    <w:rsid w:val="006044E0"/>
    <w:rsid w:val="00604FAD"/>
    <w:rsid w:val="006073C3"/>
    <w:rsid w:val="00610E6B"/>
    <w:rsid w:val="00611692"/>
    <w:rsid w:val="00612C28"/>
    <w:rsid w:val="00612E0A"/>
    <w:rsid w:val="00612EB3"/>
    <w:rsid w:val="006133D7"/>
    <w:rsid w:val="006136E9"/>
    <w:rsid w:val="00613F4F"/>
    <w:rsid w:val="006140B7"/>
    <w:rsid w:val="00614B68"/>
    <w:rsid w:val="00614EFD"/>
    <w:rsid w:val="006163D3"/>
    <w:rsid w:val="00616ECA"/>
    <w:rsid w:val="00616F4C"/>
    <w:rsid w:val="00616F90"/>
    <w:rsid w:val="00617073"/>
    <w:rsid w:val="006177E9"/>
    <w:rsid w:val="006178DD"/>
    <w:rsid w:val="00617AB4"/>
    <w:rsid w:val="00617B67"/>
    <w:rsid w:val="0062021B"/>
    <w:rsid w:val="00620319"/>
    <w:rsid w:val="006209F5"/>
    <w:rsid w:val="00620FE9"/>
    <w:rsid w:val="0062106B"/>
    <w:rsid w:val="0062162B"/>
    <w:rsid w:val="006221E3"/>
    <w:rsid w:val="00622790"/>
    <w:rsid w:val="00622F90"/>
    <w:rsid w:val="0062318D"/>
    <w:rsid w:val="00623302"/>
    <w:rsid w:val="00623680"/>
    <w:rsid w:val="00624369"/>
    <w:rsid w:val="00625363"/>
    <w:rsid w:val="00625530"/>
    <w:rsid w:val="006258CF"/>
    <w:rsid w:val="00625BED"/>
    <w:rsid w:val="0062727F"/>
    <w:rsid w:val="00627443"/>
    <w:rsid w:val="006315C9"/>
    <w:rsid w:val="00632205"/>
    <w:rsid w:val="0063223F"/>
    <w:rsid w:val="0063247D"/>
    <w:rsid w:val="00634173"/>
    <w:rsid w:val="0063460F"/>
    <w:rsid w:val="00634C4B"/>
    <w:rsid w:val="00635722"/>
    <w:rsid w:val="006358DB"/>
    <w:rsid w:val="00636639"/>
    <w:rsid w:val="00636E50"/>
    <w:rsid w:val="006377AE"/>
    <w:rsid w:val="00637B7F"/>
    <w:rsid w:val="00640C06"/>
    <w:rsid w:val="006422A0"/>
    <w:rsid w:val="00642C56"/>
    <w:rsid w:val="0064343D"/>
    <w:rsid w:val="0064348D"/>
    <w:rsid w:val="0064395B"/>
    <w:rsid w:val="00644875"/>
    <w:rsid w:val="00644CFD"/>
    <w:rsid w:val="00645307"/>
    <w:rsid w:val="00645AD7"/>
    <w:rsid w:val="006473C3"/>
    <w:rsid w:val="00647C38"/>
    <w:rsid w:val="00647CC9"/>
    <w:rsid w:val="006522A1"/>
    <w:rsid w:val="00652466"/>
    <w:rsid w:val="00652B99"/>
    <w:rsid w:val="006530E2"/>
    <w:rsid w:val="006535B5"/>
    <w:rsid w:val="00653AD2"/>
    <w:rsid w:val="006540A6"/>
    <w:rsid w:val="00654D66"/>
    <w:rsid w:val="006571BA"/>
    <w:rsid w:val="00657CFB"/>
    <w:rsid w:val="00657F7C"/>
    <w:rsid w:val="00660690"/>
    <w:rsid w:val="006609B9"/>
    <w:rsid w:val="00660B2F"/>
    <w:rsid w:val="00660EAB"/>
    <w:rsid w:val="00661F41"/>
    <w:rsid w:val="00663306"/>
    <w:rsid w:val="00663B4B"/>
    <w:rsid w:val="0066480A"/>
    <w:rsid w:val="00664CDE"/>
    <w:rsid w:val="006650DE"/>
    <w:rsid w:val="0066625A"/>
    <w:rsid w:val="00666943"/>
    <w:rsid w:val="00670EAD"/>
    <w:rsid w:val="006715D1"/>
    <w:rsid w:val="006740DE"/>
    <w:rsid w:val="00674DC1"/>
    <w:rsid w:val="00675F5E"/>
    <w:rsid w:val="00676A4B"/>
    <w:rsid w:val="00676C32"/>
    <w:rsid w:val="00676E0A"/>
    <w:rsid w:val="006770E2"/>
    <w:rsid w:val="006772A3"/>
    <w:rsid w:val="0067794A"/>
    <w:rsid w:val="006803D0"/>
    <w:rsid w:val="0068061A"/>
    <w:rsid w:val="006808F1"/>
    <w:rsid w:val="006811D9"/>
    <w:rsid w:val="006816EA"/>
    <w:rsid w:val="00682CC1"/>
    <w:rsid w:val="006833D8"/>
    <w:rsid w:val="00683555"/>
    <w:rsid w:val="00683835"/>
    <w:rsid w:val="00683D33"/>
    <w:rsid w:val="00684A8B"/>
    <w:rsid w:val="00684BF7"/>
    <w:rsid w:val="006861EF"/>
    <w:rsid w:val="00686B3E"/>
    <w:rsid w:val="006877F8"/>
    <w:rsid w:val="00687FC3"/>
    <w:rsid w:val="00687FCF"/>
    <w:rsid w:val="0069062B"/>
    <w:rsid w:val="00690DE3"/>
    <w:rsid w:val="00690EBB"/>
    <w:rsid w:val="00691CC0"/>
    <w:rsid w:val="00693AF0"/>
    <w:rsid w:val="00693D4B"/>
    <w:rsid w:val="00694229"/>
    <w:rsid w:val="006955AC"/>
    <w:rsid w:val="00695A7F"/>
    <w:rsid w:val="00695EEF"/>
    <w:rsid w:val="006965EE"/>
    <w:rsid w:val="0069670F"/>
    <w:rsid w:val="00697081"/>
    <w:rsid w:val="006A1163"/>
    <w:rsid w:val="006A173E"/>
    <w:rsid w:val="006A19DC"/>
    <w:rsid w:val="006A1CD0"/>
    <w:rsid w:val="006A4504"/>
    <w:rsid w:val="006A47EB"/>
    <w:rsid w:val="006A5019"/>
    <w:rsid w:val="006A5988"/>
    <w:rsid w:val="006A624A"/>
    <w:rsid w:val="006B0E1C"/>
    <w:rsid w:val="006B1766"/>
    <w:rsid w:val="006B30BF"/>
    <w:rsid w:val="006B3319"/>
    <w:rsid w:val="006B3B19"/>
    <w:rsid w:val="006B5E2F"/>
    <w:rsid w:val="006B690D"/>
    <w:rsid w:val="006B733C"/>
    <w:rsid w:val="006B7B28"/>
    <w:rsid w:val="006B7BFE"/>
    <w:rsid w:val="006B7F48"/>
    <w:rsid w:val="006C0108"/>
    <w:rsid w:val="006C0964"/>
    <w:rsid w:val="006C1632"/>
    <w:rsid w:val="006C1B48"/>
    <w:rsid w:val="006C26B5"/>
    <w:rsid w:val="006C2D21"/>
    <w:rsid w:val="006C2F8D"/>
    <w:rsid w:val="006C3134"/>
    <w:rsid w:val="006C3F01"/>
    <w:rsid w:val="006C476A"/>
    <w:rsid w:val="006C5597"/>
    <w:rsid w:val="006C5D05"/>
    <w:rsid w:val="006C5E4D"/>
    <w:rsid w:val="006C63D3"/>
    <w:rsid w:val="006C6F05"/>
    <w:rsid w:val="006C780B"/>
    <w:rsid w:val="006D0C53"/>
    <w:rsid w:val="006D0FB6"/>
    <w:rsid w:val="006D119A"/>
    <w:rsid w:val="006D1272"/>
    <w:rsid w:val="006D44AE"/>
    <w:rsid w:val="006D4519"/>
    <w:rsid w:val="006D4549"/>
    <w:rsid w:val="006D4D12"/>
    <w:rsid w:val="006D4FCC"/>
    <w:rsid w:val="006D5799"/>
    <w:rsid w:val="006D5BE5"/>
    <w:rsid w:val="006D7AA5"/>
    <w:rsid w:val="006E0128"/>
    <w:rsid w:val="006E1943"/>
    <w:rsid w:val="006E1AD0"/>
    <w:rsid w:val="006E1F7E"/>
    <w:rsid w:val="006E2CF8"/>
    <w:rsid w:val="006E39EC"/>
    <w:rsid w:val="006E63EE"/>
    <w:rsid w:val="006E6B62"/>
    <w:rsid w:val="006E6BB3"/>
    <w:rsid w:val="006F0ABD"/>
    <w:rsid w:val="006F0CED"/>
    <w:rsid w:val="006F0D06"/>
    <w:rsid w:val="006F18EC"/>
    <w:rsid w:val="006F1D36"/>
    <w:rsid w:val="006F1F95"/>
    <w:rsid w:val="006F3159"/>
    <w:rsid w:val="006F31A5"/>
    <w:rsid w:val="006F3DB4"/>
    <w:rsid w:val="006F4F19"/>
    <w:rsid w:val="006F6820"/>
    <w:rsid w:val="006F695B"/>
    <w:rsid w:val="006F6AA0"/>
    <w:rsid w:val="006F7430"/>
    <w:rsid w:val="006F779E"/>
    <w:rsid w:val="00700C74"/>
    <w:rsid w:val="007016F1"/>
    <w:rsid w:val="0070175E"/>
    <w:rsid w:val="0070261A"/>
    <w:rsid w:val="007033B2"/>
    <w:rsid w:val="00703692"/>
    <w:rsid w:val="007036B6"/>
    <w:rsid w:val="007044C5"/>
    <w:rsid w:val="00704796"/>
    <w:rsid w:val="00705244"/>
    <w:rsid w:val="0070551D"/>
    <w:rsid w:val="007056BD"/>
    <w:rsid w:val="00705954"/>
    <w:rsid w:val="00706414"/>
    <w:rsid w:val="00710409"/>
    <w:rsid w:val="00710986"/>
    <w:rsid w:val="0071233F"/>
    <w:rsid w:val="00712525"/>
    <w:rsid w:val="007128B1"/>
    <w:rsid w:val="00713BC7"/>
    <w:rsid w:val="00714DFE"/>
    <w:rsid w:val="00714F83"/>
    <w:rsid w:val="007150DD"/>
    <w:rsid w:val="00715149"/>
    <w:rsid w:val="007159C0"/>
    <w:rsid w:val="007160A1"/>
    <w:rsid w:val="007161F5"/>
    <w:rsid w:val="007166E8"/>
    <w:rsid w:val="00716AC1"/>
    <w:rsid w:val="00716DCF"/>
    <w:rsid w:val="00716DEA"/>
    <w:rsid w:val="007175DB"/>
    <w:rsid w:val="00720242"/>
    <w:rsid w:val="00721F15"/>
    <w:rsid w:val="007220DB"/>
    <w:rsid w:val="007229BB"/>
    <w:rsid w:val="007233BD"/>
    <w:rsid w:val="00723568"/>
    <w:rsid w:val="007239B6"/>
    <w:rsid w:val="00724130"/>
    <w:rsid w:val="00724BA7"/>
    <w:rsid w:val="00725306"/>
    <w:rsid w:val="0072581B"/>
    <w:rsid w:val="00726DF9"/>
    <w:rsid w:val="00727A7D"/>
    <w:rsid w:val="007302B8"/>
    <w:rsid w:val="007308DB"/>
    <w:rsid w:val="00730B40"/>
    <w:rsid w:val="00730F5E"/>
    <w:rsid w:val="00731034"/>
    <w:rsid w:val="00731591"/>
    <w:rsid w:val="007316AA"/>
    <w:rsid w:val="0073282E"/>
    <w:rsid w:val="00733159"/>
    <w:rsid w:val="00733A96"/>
    <w:rsid w:val="00733E28"/>
    <w:rsid w:val="00734087"/>
    <w:rsid w:val="007349B5"/>
    <w:rsid w:val="00734ADF"/>
    <w:rsid w:val="00734BB2"/>
    <w:rsid w:val="00734E74"/>
    <w:rsid w:val="00735242"/>
    <w:rsid w:val="00735486"/>
    <w:rsid w:val="00735728"/>
    <w:rsid w:val="00735A34"/>
    <w:rsid w:val="00735BE3"/>
    <w:rsid w:val="007362DD"/>
    <w:rsid w:val="00736E87"/>
    <w:rsid w:val="00740619"/>
    <w:rsid w:val="00740C6E"/>
    <w:rsid w:val="00740D80"/>
    <w:rsid w:val="00740F7E"/>
    <w:rsid w:val="00742E98"/>
    <w:rsid w:val="00743622"/>
    <w:rsid w:val="007439CA"/>
    <w:rsid w:val="00745750"/>
    <w:rsid w:val="00745802"/>
    <w:rsid w:val="00745BCF"/>
    <w:rsid w:val="00745DE2"/>
    <w:rsid w:val="007466AB"/>
    <w:rsid w:val="00747A3E"/>
    <w:rsid w:val="00747B47"/>
    <w:rsid w:val="00747EE2"/>
    <w:rsid w:val="007500E3"/>
    <w:rsid w:val="00750505"/>
    <w:rsid w:val="00750566"/>
    <w:rsid w:val="0075176B"/>
    <w:rsid w:val="00752128"/>
    <w:rsid w:val="007528DA"/>
    <w:rsid w:val="00752B31"/>
    <w:rsid w:val="00752C9B"/>
    <w:rsid w:val="0075355B"/>
    <w:rsid w:val="0075365E"/>
    <w:rsid w:val="007537E2"/>
    <w:rsid w:val="007539CF"/>
    <w:rsid w:val="00754BD4"/>
    <w:rsid w:val="007550E9"/>
    <w:rsid w:val="00755A2E"/>
    <w:rsid w:val="00755C92"/>
    <w:rsid w:val="00755D2E"/>
    <w:rsid w:val="00756096"/>
    <w:rsid w:val="00757DDD"/>
    <w:rsid w:val="0076065B"/>
    <w:rsid w:val="00761015"/>
    <w:rsid w:val="00762290"/>
    <w:rsid w:val="00762AEA"/>
    <w:rsid w:val="007661FF"/>
    <w:rsid w:val="00766E28"/>
    <w:rsid w:val="00766E2A"/>
    <w:rsid w:val="007673A3"/>
    <w:rsid w:val="00767CCC"/>
    <w:rsid w:val="00767DFB"/>
    <w:rsid w:val="007706B7"/>
    <w:rsid w:val="00771199"/>
    <w:rsid w:val="00772070"/>
    <w:rsid w:val="007726DC"/>
    <w:rsid w:val="00772BF3"/>
    <w:rsid w:val="0077320D"/>
    <w:rsid w:val="00773C4A"/>
    <w:rsid w:val="00774112"/>
    <w:rsid w:val="007749AE"/>
    <w:rsid w:val="00774F38"/>
    <w:rsid w:val="0077535B"/>
    <w:rsid w:val="00775C26"/>
    <w:rsid w:val="007800A3"/>
    <w:rsid w:val="0078064C"/>
    <w:rsid w:val="007830D3"/>
    <w:rsid w:val="00783200"/>
    <w:rsid w:val="007833F5"/>
    <w:rsid w:val="0078345C"/>
    <w:rsid w:val="007840DA"/>
    <w:rsid w:val="0078435C"/>
    <w:rsid w:val="00784383"/>
    <w:rsid w:val="00784595"/>
    <w:rsid w:val="007845C5"/>
    <w:rsid w:val="007847B3"/>
    <w:rsid w:val="007863A6"/>
    <w:rsid w:val="00787343"/>
    <w:rsid w:val="007876EF"/>
    <w:rsid w:val="00787BB9"/>
    <w:rsid w:val="0079055F"/>
    <w:rsid w:val="00791B36"/>
    <w:rsid w:val="00792030"/>
    <w:rsid w:val="00792B79"/>
    <w:rsid w:val="007930F3"/>
    <w:rsid w:val="00793AF3"/>
    <w:rsid w:val="0079466B"/>
    <w:rsid w:val="00794B95"/>
    <w:rsid w:val="00795060"/>
    <w:rsid w:val="007958CE"/>
    <w:rsid w:val="007960AA"/>
    <w:rsid w:val="00796C21"/>
    <w:rsid w:val="007973B0"/>
    <w:rsid w:val="007A0C39"/>
    <w:rsid w:val="007A0E15"/>
    <w:rsid w:val="007A13F1"/>
    <w:rsid w:val="007A2259"/>
    <w:rsid w:val="007A34F6"/>
    <w:rsid w:val="007A3AC9"/>
    <w:rsid w:val="007A3FC0"/>
    <w:rsid w:val="007A40A6"/>
    <w:rsid w:val="007A42D4"/>
    <w:rsid w:val="007A486D"/>
    <w:rsid w:val="007A4CFC"/>
    <w:rsid w:val="007A4D6F"/>
    <w:rsid w:val="007A5584"/>
    <w:rsid w:val="007A5AC1"/>
    <w:rsid w:val="007A60C5"/>
    <w:rsid w:val="007A6909"/>
    <w:rsid w:val="007A716E"/>
    <w:rsid w:val="007A7239"/>
    <w:rsid w:val="007A7302"/>
    <w:rsid w:val="007A7C3B"/>
    <w:rsid w:val="007B0998"/>
    <w:rsid w:val="007B1BDA"/>
    <w:rsid w:val="007B2846"/>
    <w:rsid w:val="007B3B0A"/>
    <w:rsid w:val="007B4302"/>
    <w:rsid w:val="007B4D01"/>
    <w:rsid w:val="007B4E5F"/>
    <w:rsid w:val="007B6878"/>
    <w:rsid w:val="007B6904"/>
    <w:rsid w:val="007B7564"/>
    <w:rsid w:val="007C0EC3"/>
    <w:rsid w:val="007C1B05"/>
    <w:rsid w:val="007C1FEC"/>
    <w:rsid w:val="007C201C"/>
    <w:rsid w:val="007C2355"/>
    <w:rsid w:val="007C28C3"/>
    <w:rsid w:val="007C2FA0"/>
    <w:rsid w:val="007C370A"/>
    <w:rsid w:val="007C3F5C"/>
    <w:rsid w:val="007C5434"/>
    <w:rsid w:val="007C61E3"/>
    <w:rsid w:val="007C6224"/>
    <w:rsid w:val="007C63E5"/>
    <w:rsid w:val="007C6D7E"/>
    <w:rsid w:val="007D01A0"/>
    <w:rsid w:val="007D0207"/>
    <w:rsid w:val="007D15C2"/>
    <w:rsid w:val="007D20CE"/>
    <w:rsid w:val="007D47D0"/>
    <w:rsid w:val="007D4F4B"/>
    <w:rsid w:val="007D5EFF"/>
    <w:rsid w:val="007D6812"/>
    <w:rsid w:val="007D6EAA"/>
    <w:rsid w:val="007E08EE"/>
    <w:rsid w:val="007E0992"/>
    <w:rsid w:val="007E12AD"/>
    <w:rsid w:val="007E1542"/>
    <w:rsid w:val="007E322D"/>
    <w:rsid w:val="007E3BF8"/>
    <w:rsid w:val="007E3D85"/>
    <w:rsid w:val="007E5464"/>
    <w:rsid w:val="007E5493"/>
    <w:rsid w:val="007E5997"/>
    <w:rsid w:val="007E68FD"/>
    <w:rsid w:val="007E6C59"/>
    <w:rsid w:val="007E6D8C"/>
    <w:rsid w:val="007E7BA8"/>
    <w:rsid w:val="007F0DE2"/>
    <w:rsid w:val="007F0F3F"/>
    <w:rsid w:val="007F1048"/>
    <w:rsid w:val="007F14B7"/>
    <w:rsid w:val="007F1BC6"/>
    <w:rsid w:val="007F1D62"/>
    <w:rsid w:val="007F3083"/>
    <w:rsid w:val="007F55D3"/>
    <w:rsid w:val="007F5CB4"/>
    <w:rsid w:val="007F724C"/>
    <w:rsid w:val="007F73DE"/>
    <w:rsid w:val="007F7810"/>
    <w:rsid w:val="00800725"/>
    <w:rsid w:val="008020B8"/>
    <w:rsid w:val="00802FC1"/>
    <w:rsid w:val="008031F7"/>
    <w:rsid w:val="00803C4C"/>
    <w:rsid w:val="00803CBF"/>
    <w:rsid w:val="00803CD5"/>
    <w:rsid w:val="00804BAD"/>
    <w:rsid w:val="00804D75"/>
    <w:rsid w:val="00805CAB"/>
    <w:rsid w:val="0080700F"/>
    <w:rsid w:val="0081058D"/>
    <w:rsid w:val="00810922"/>
    <w:rsid w:val="00810B18"/>
    <w:rsid w:val="008115D7"/>
    <w:rsid w:val="008115DE"/>
    <w:rsid w:val="008118A0"/>
    <w:rsid w:val="00811B4C"/>
    <w:rsid w:val="008120F0"/>
    <w:rsid w:val="0081214D"/>
    <w:rsid w:val="00812559"/>
    <w:rsid w:val="00812E46"/>
    <w:rsid w:val="008146D4"/>
    <w:rsid w:val="00815A2E"/>
    <w:rsid w:val="00815B8B"/>
    <w:rsid w:val="00815B94"/>
    <w:rsid w:val="008162A2"/>
    <w:rsid w:val="0081674C"/>
    <w:rsid w:val="008173FB"/>
    <w:rsid w:val="00817D1A"/>
    <w:rsid w:val="00821051"/>
    <w:rsid w:val="00821360"/>
    <w:rsid w:val="00821A1A"/>
    <w:rsid w:val="00821AEA"/>
    <w:rsid w:val="00821BCD"/>
    <w:rsid w:val="00822D32"/>
    <w:rsid w:val="0082313D"/>
    <w:rsid w:val="008234A7"/>
    <w:rsid w:val="008238A7"/>
    <w:rsid w:val="00823C3A"/>
    <w:rsid w:val="008244C6"/>
    <w:rsid w:val="0082481A"/>
    <w:rsid w:val="00824B29"/>
    <w:rsid w:val="00826EB2"/>
    <w:rsid w:val="00827683"/>
    <w:rsid w:val="008279BC"/>
    <w:rsid w:val="008300AF"/>
    <w:rsid w:val="008302E4"/>
    <w:rsid w:val="00830312"/>
    <w:rsid w:val="00830605"/>
    <w:rsid w:val="00831356"/>
    <w:rsid w:val="00832481"/>
    <w:rsid w:val="00832C2E"/>
    <w:rsid w:val="0083312D"/>
    <w:rsid w:val="00833621"/>
    <w:rsid w:val="008336D5"/>
    <w:rsid w:val="008338C7"/>
    <w:rsid w:val="00833E7D"/>
    <w:rsid w:val="00834A29"/>
    <w:rsid w:val="0083501B"/>
    <w:rsid w:val="00835D23"/>
    <w:rsid w:val="008360F4"/>
    <w:rsid w:val="008365C3"/>
    <w:rsid w:val="008366D3"/>
    <w:rsid w:val="00836CC8"/>
    <w:rsid w:val="00836D43"/>
    <w:rsid w:val="00837118"/>
    <w:rsid w:val="008404DB"/>
    <w:rsid w:val="008411A9"/>
    <w:rsid w:val="00841610"/>
    <w:rsid w:val="008424E9"/>
    <w:rsid w:val="008445D4"/>
    <w:rsid w:val="0084642B"/>
    <w:rsid w:val="008470BB"/>
    <w:rsid w:val="00850D23"/>
    <w:rsid w:val="0085231E"/>
    <w:rsid w:val="00852C56"/>
    <w:rsid w:val="00852F3A"/>
    <w:rsid w:val="00853E09"/>
    <w:rsid w:val="00853E6F"/>
    <w:rsid w:val="008540DC"/>
    <w:rsid w:val="00854169"/>
    <w:rsid w:val="0085525F"/>
    <w:rsid w:val="008570B9"/>
    <w:rsid w:val="008605DD"/>
    <w:rsid w:val="00860BE9"/>
    <w:rsid w:val="00861219"/>
    <w:rsid w:val="0086158D"/>
    <w:rsid w:val="008617C1"/>
    <w:rsid w:val="008618F9"/>
    <w:rsid w:val="0086220F"/>
    <w:rsid w:val="008637E0"/>
    <w:rsid w:val="00863823"/>
    <w:rsid w:val="00864193"/>
    <w:rsid w:val="0086544B"/>
    <w:rsid w:val="008655C9"/>
    <w:rsid w:val="008664F0"/>
    <w:rsid w:val="00871224"/>
    <w:rsid w:val="00871AB9"/>
    <w:rsid w:val="00871EF8"/>
    <w:rsid w:val="008720EA"/>
    <w:rsid w:val="008726D2"/>
    <w:rsid w:val="00872994"/>
    <w:rsid w:val="00874B0D"/>
    <w:rsid w:val="00874E79"/>
    <w:rsid w:val="00875378"/>
    <w:rsid w:val="008753C2"/>
    <w:rsid w:val="008754BB"/>
    <w:rsid w:val="00875B4E"/>
    <w:rsid w:val="0087617C"/>
    <w:rsid w:val="00876379"/>
    <w:rsid w:val="008767F4"/>
    <w:rsid w:val="00876F40"/>
    <w:rsid w:val="008773AF"/>
    <w:rsid w:val="00881ECD"/>
    <w:rsid w:val="008848CA"/>
    <w:rsid w:val="008864C4"/>
    <w:rsid w:val="0088676B"/>
    <w:rsid w:val="00886E7A"/>
    <w:rsid w:val="008903E0"/>
    <w:rsid w:val="00890838"/>
    <w:rsid w:val="0089087D"/>
    <w:rsid w:val="00890EDE"/>
    <w:rsid w:val="00892337"/>
    <w:rsid w:val="00892CE5"/>
    <w:rsid w:val="00893053"/>
    <w:rsid w:val="00894B19"/>
    <w:rsid w:val="0089599F"/>
    <w:rsid w:val="008964E0"/>
    <w:rsid w:val="008A1B7C"/>
    <w:rsid w:val="008A1F05"/>
    <w:rsid w:val="008A1F58"/>
    <w:rsid w:val="008A20B3"/>
    <w:rsid w:val="008A2FC6"/>
    <w:rsid w:val="008A329F"/>
    <w:rsid w:val="008A4744"/>
    <w:rsid w:val="008A4EF5"/>
    <w:rsid w:val="008A5902"/>
    <w:rsid w:val="008A754E"/>
    <w:rsid w:val="008A789A"/>
    <w:rsid w:val="008B10C8"/>
    <w:rsid w:val="008B3B7E"/>
    <w:rsid w:val="008B3D0D"/>
    <w:rsid w:val="008B3D14"/>
    <w:rsid w:val="008B5448"/>
    <w:rsid w:val="008B57FC"/>
    <w:rsid w:val="008B5B2B"/>
    <w:rsid w:val="008B6FCC"/>
    <w:rsid w:val="008B7062"/>
    <w:rsid w:val="008B7167"/>
    <w:rsid w:val="008B79BB"/>
    <w:rsid w:val="008C0B57"/>
    <w:rsid w:val="008C114A"/>
    <w:rsid w:val="008C1337"/>
    <w:rsid w:val="008C1A4D"/>
    <w:rsid w:val="008C2687"/>
    <w:rsid w:val="008C3549"/>
    <w:rsid w:val="008C3839"/>
    <w:rsid w:val="008C3C4E"/>
    <w:rsid w:val="008C4981"/>
    <w:rsid w:val="008C562B"/>
    <w:rsid w:val="008C564C"/>
    <w:rsid w:val="008C6014"/>
    <w:rsid w:val="008D05C4"/>
    <w:rsid w:val="008D134E"/>
    <w:rsid w:val="008D1E6A"/>
    <w:rsid w:val="008D20AC"/>
    <w:rsid w:val="008D3911"/>
    <w:rsid w:val="008D4F8C"/>
    <w:rsid w:val="008D5A2B"/>
    <w:rsid w:val="008D5B4E"/>
    <w:rsid w:val="008D6306"/>
    <w:rsid w:val="008D7738"/>
    <w:rsid w:val="008E05DA"/>
    <w:rsid w:val="008E09E2"/>
    <w:rsid w:val="008E2260"/>
    <w:rsid w:val="008E2A59"/>
    <w:rsid w:val="008E2D76"/>
    <w:rsid w:val="008E3167"/>
    <w:rsid w:val="008E3190"/>
    <w:rsid w:val="008E3AAA"/>
    <w:rsid w:val="008E4F4F"/>
    <w:rsid w:val="008E516D"/>
    <w:rsid w:val="008E5456"/>
    <w:rsid w:val="008E5947"/>
    <w:rsid w:val="008E604C"/>
    <w:rsid w:val="008E6073"/>
    <w:rsid w:val="008E78E3"/>
    <w:rsid w:val="008E7A2A"/>
    <w:rsid w:val="008E7B0A"/>
    <w:rsid w:val="008F03DC"/>
    <w:rsid w:val="008F1A87"/>
    <w:rsid w:val="008F1B2A"/>
    <w:rsid w:val="008F2298"/>
    <w:rsid w:val="008F29DD"/>
    <w:rsid w:val="008F480F"/>
    <w:rsid w:val="008F49C4"/>
    <w:rsid w:val="008F4F49"/>
    <w:rsid w:val="008F4F9B"/>
    <w:rsid w:val="008F5724"/>
    <w:rsid w:val="008F6B61"/>
    <w:rsid w:val="008F6EF4"/>
    <w:rsid w:val="008F70E4"/>
    <w:rsid w:val="00900236"/>
    <w:rsid w:val="00900AC1"/>
    <w:rsid w:val="00900E63"/>
    <w:rsid w:val="00901800"/>
    <w:rsid w:val="00901E15"/>
    <w:rsid w:val="00904807"/>
    <w:rsid w:val="00904FC1"/>
    <w:rsid w:val="009057F0"/>
    <w:rsid w:val="00905E23"/>
    <w:rsid w:val="009060CF"/>
    <w:rsid w:val="00906759"/>
    <w:rsid w:val="00907DB0"/>
    <w:rsid w:val="00907E00"/>
    <w:rsid w:val="0091053A"/>
    <w:rsid w:val="00910E2C"/>
    <w:rsid w:val="009124A5"/>
    <w:rsid w:val="009134D7"/>
    <w:rsid w:val="009142E8"/>
    <w:rsid w:val="00914C3E"/>
    <w:rsid w:val="00915E70"/>
    <w:rsid w:val="00916500"/>
    <w:rsid w:val="009178E4"/>
    <w:rsid w:val="00917970"/>
    <w:rsid w:val="0092022A"/>
    <w:rsid w:val="00920931"/>
    <w:rsid w:val="00920A15"/>
    <w:rsid w:val="00920C71"/>
    <w:rsid w:val="0092151E"/>
    <w:rsid w:val="00921BB3"/>
    <w:rsid w:val="00921BDC"/>
    <w:rsid w:val="00921D75"/>
    <w:rsid w:val="00923AEB"/>
    <w:rsid w:val="00924463"/>
    <w:rsid w:val="00924C49"/>
    <w:rsid w:val="00925123"/>
    <w:rsid w:val="00926B1F"/>
    <w:rsid w:val="00927866"/>
    <w:rsid w:val="009302BC"/>
    <w:rsid w:val="00931308"/>
    <w:rsid w:val="00931920"/>
    <w:rsid w:val="00931EBD"/>
    <w:rsid w:val="00932F64"/>
    <w:rsid w:val="00934091"/>
    <w:rsid w:val="00934A98"/>
    <w:rsid w:val="0093537B"/>
    <w:rsid w:val="0093588F"/>
    <w:rsid w:val="00936072"/>
    <w:rsid w:val="00936175"/>
    <w:rsid w:val="00936BFF"/>
    <w:rsid w:val="00936C41"/>
    <w:rsid w:val="00937194"/>
    <w:rsid w:val="00937858"/>
    <w:rsid w:val="00937CB5"/>
    <w:rsid w:val="00940A65"/>
    <w:rsid w:val="00940E69"/>
    <w:rsid w:val="0094268E"/>
    <w:rsid w:val="00943F3B"/>
    <w:rsid w:val="00943F83"/>
    <w:rsid w:val="009446BC"/>
    <w:rsid w:val="00944976"/>
    <w:rsid w:val="009450BE"/>
    <w:rsid w:val="00945253"/>
    <w:rsid w:val="009452A4"/>
    <w:rsid w:val="00945FA4"/>
    <w:rsid w:val="009460AC"/>
    <w:rsid w:val="009461CC"/>
    <w:rsid w:val="00947915"/>
    <w:rsid w:val="00947D94"/>
    <w:rsid w:val="00947E84"/>
    <w:rsid w:val="00950577"/>
    <w:rsid w:val="00952030"/>
    <w:rsid w:val="00954B1F"/>
    <w:rsid w:val="00954F09"/>
    <w:rsid w:val="00955D04"/>
    <w:rsid w:val="00956222"/>
    <w:rsid w:val="00956CC3"/>
    <w:rsid w:val="00957DCE"/>
    <w:rsid w:val="00960025"/>
    <w:rsid w:val="00960B62"/>
    <w:rsid w:val="00961840"/>
    <w:rsid w:val="00961A6E"/>
    <w:rsid w:val="009627B5"/>
    <w:rsid w:val="00962BC7"/>
    <w:rsid w:val="00963756"/>
    <w:rsid w:val="0096408C"/>
    <w:rsid w:val="009649F9"/>
    <w:rsid w:val="00964E1C"/>
    <w:rsid w:val="00965624"/>
    <w:rsid w:val="00965694"/>
    <w:rsid w:val="009660B9"/>
    <w:rsid w:val="009668F6"/>
    <w:rsid w:val="00970565"/>
    <w:rsid w:val="00971341"/>
    <w:rsid w:val="00972E67"/>
    <w:rsid w:val="00973720"/>
    <w:rsid w:val="009738A5"/>
    <w:rsid w:val="00973EB2"/>
    <w:rsid w:val="0097406A"/>
    <w:rsid w:val="00975047"/>
    <w:rsid w:val="00976CCC"/>
    <w:rsid w:val="00977FF5"/>
    <w:rsid w:val="0098037D"/>
    <w:rsid w:val="0098051F"/>
    <w:rsid w:val="0098111B"/>
    <w:rsid w:val="00981160"/>
    <w:rsid w:val="009818C4"/>
    <w:rsid w:val="009820E4"/>
    <w:rsid w:val="00982A69"/>
    <w:rsid w:val="00983DAA"/>
    <w:rsid w:val="009848B2"/>
    <w:rsid w:val="00985222"/>
    <w:rsid w:val="009869BA"/>
    <w:rsid w:val="00986DE3"/>
    <w:rsid w:val="00986E0E"/>
    <w:rsid w:val="00987081"/>
    <w:rsid w:val="009870BB"/>
    <w:rsid w:val="009872DE"/>
    <w:rsid w:val="0099108C"/>
    <w:rsid w:val="00992D54"/>
    <w:rsid w:val="00993418"/>
    <w:rsid w:val="009949C5"/>
    <w:rsid w:val="00994E05"/>
    <w:rsid w:val="00995A95"/>
    <w:rsid w:val="00995B6A"/>
    <w:rsid w:val="00996948"/>
    <w:rsid w:val="00996A8C"/>
    <w:rsid w:val="00996DDD"/>
    <w:rsid w:val="009A0492"/>
    <w:rsid w:val="009A126E"/>
    <w:rsid w:val="009A1FC0"/>
    <w:rsid w:val="009A22F9"/>
    <w:rsid w:val="009A471D"/>
    <w:rsid w:val="009A67C5"/>
    <w:rsid w:val="009A6D5B"/>
    <w:rsid w:val="009A71A9"/>
    <w:rsid w:val="009B0E92"/>
    <w:rsid w:val="009B1A80"/>
    <w:rsid w:val="009B2263"/>
    <w:rsid w:val="009B3D11"/>
    <w:rsid w:val="009B48CD"/>
    <w:rsid w:val="009B4F8F"/>
    <w:rsid w:val="009B5D67"/>
    <w:rsid w:val="009B68CC"/>
    <w:rsid w:val="009C0405"/>
    <w:rsid w:val="009C0571"/>
    <w:rsid w:val="009C0E3A"/>
    <w:rsid w:val="009C1012"/>
    <w:rsid w:val="009C1580"/>
    <w:rsid w:val="009C18E1"/>
    <w:rsid w:val="009C19F9"/>
    <w:rsid w:val="009C1B3F"/>
    <w:rsid w:val="009C1E62"/>
    <w:rsid w:val="009C2CB7"/>
    <w:rsid w:val="009C341E"/>
    <w:rsid w:val="009C3801"/>
    <w:rsid w:val="009C3FE3"/>
    <w:rsid w:val="009C438B"/>
    <w:rsid w:val="009C47DD"/>
    <w:rsid w:val="009C5E5A"/>
    <w:rsid w:val="009C6FCF"/>
    <w:rsid w:val="009C72A2"/>
    <w:rsid w:val="009C7828"/>
    <w:rsid w:val="009D0B1F"/>
    <w:rsid w:val="009D0CBC"/>
    <w:rsid w:val="009D1221"/>
    <w:rsid w:val="009D2036"/>
    <w:rsid w:val="009D2182"/>
    <w:rsid w:val="009D3A56"/>
    <w:rsid w:val="009D3BB3"/>
    <w:rsid w:val="009D5C04"/>
    <w:rsid w:val="009D5ECA"/>
    <w:rsid w:val="009D6033"/>
    <w:rsid w:val="009D6344"/>
    <w:rsid w:val="009D664E"/>
    <w:rsid w:val="009E21E8"/>
    <w:rsid w:val="009E2998"/>
    <w:rsid w:val="009E2C30"/>
    <w:rsid w:val="009E4948"/>
    <w:rsid w:val="009E5475"/>
    <w:rsid w:val="009E5857"/>
    <w:rsid w:val="009E72A9"/>
    <w:rsid w:val="009E799E"/>
    <w:rsid w:val="009E7BC4"/>
    <w:rsid w:val="009F0252"/>
    <w:rsid w:val="009F047E"/>
    <w:rsid w:val="009F0814"/>
    <w:rsid w:val="009F0F11"/>
    <w:rsid w:val="009F1C1A"/>
    <w:rsid w:val="009F29B6"/>
    <w:rsid w:val="009F4479"/>
    <w:rsid w:val="009F4DC7"/>
    <w:rsid w:val="009F57B5"/>
    <w:rsid w:val="009F6437"/>
    <w:rsid w:val="009F6849"/>
    <w:rsid w:val="009F7028"/>
    <w:rsid w:val="009F7B9E"/>
    <w:rsid w:val="00A01161"/>
    <w:rsid w:val="00A01609"/>
    <w:rsid w:val="00A021D5"/>
    <w:rsid w:val="00A0220C"/>
    <w:rsid w:val="00A02747"/>
    <w:rsid w:val="00A02FD0"/>
    <w:rsid w:val="00A03AB7"/>
    <w:rsid w:val="00A03ED5"/>
    <w:rsid w:val="00A0446E"/>
    <w:rsid w:val="00A05446"/>
    <w:rsid w:val="00A0569D"/>
    <w:rsid w:val="00A0579D"/>
    <w:rsid w:val="00A05BF1"/>
    <w:rsid w:val="00A064D7"/>
    <w:rsid w:val="00A06C75"/>
    <w:rsid w:val="00A07F9A"/>
    <w:rsid w:val="00A10120"/>
    <w:rsid w:val="00A11430"/>
    <w:rsid w:val="00A11567"/>
    <w:rsid w:val="00A11803"/>
    <w:rsid w:val="00A11947"/>
    <w:rsid w:val="00A128B1"/>
    <w:rsid w:val="00A12CFD"/>
    <w:rsid w:val="00A12E33"/>
    <w:rsid w:val="00A12E55"/>
    <w:rsid w:val="00A146C2"/>
    <w:rsid w:val="00A158D1"/>
    <w:rsid w:val="00A17A52"/>
    <w:rsid w:val="00A204A9"/>
    <w:rsid w:val="00A2108D"/>
    <w:rsid w:val="00A21710"/>
    <w:rsid w:val="00A21AD6"/>
    <w:rsid w:val="00A21C25"/>
    <w:rsid w:val="00A225D1"/>
    <w:rsid w:val="00A227FB"/>
    <w:rsid w:val="00A241C1"/>
    <w:rsid w:val="00A24859"/>
    <w:rsid w:val="00A25056"/>
    <w:rsid w:val="00A2527D"/>
    <w:rsid w:val="00A2562D"/>
    <w:rsid w:val="00A27BE9"/>
    <w:rsid w:val="00A27C2E"/>
    <w:rsid w:val="00A27D14"/>
    <w:rsid w:val="00A30010"/>
    <w:rsid w:val="00A3051B"/>
    <w:rsid w:val="00A305FB"/>
    <w:rsid w:val="00A31222"/>
    <w:rsid w:val="00A31612"/>
    <w:rsid w:val="00A31AD3"/>
    <w:rsid w:val="00A31AEB"/>
    <w:rsid w:val="00A31B1F"/>
    <w:rsid w:val="00A3301F"/>
    <w:rsid w:val="00A33620"/>
    <w:rsid w:val="00A33EE1"/>
    <w:rsid w:val="00A342AA"/>
    <w:rsid w:val="00A353EE"/>
    <w:rsid w:val="00A35F97"/>
    <w:rsid w:val="00A374BD"/>
    <w:rsid w:val="00A374F9"/>
    <w:rsid w:val="00A37B99"/>
    <w:rsid w:val="00A37E1A"/>
    <w:rsid w:val="00A40BDE"/>
    <w:rsid w:val="00A40E09"/>
    <w:rsid w:val="00A41725"/>
    <w:rsid w:val="00A422F8"/>
    <w:rsid w:val="00A4308D"/>
    <w:rsid w:val="00A43141"/>
    <w:rsid w:val="00A43770"/>
    <w:rsid w:val="00A45559"/>
    <w:rsid w:val="00A45C7E"/>
    <w:rsid w:val="00A466C3"/>
    <w:rsid w:val="00A46878"/>
    <w:rsid w:val="00A4700A"/>
    <w:rsid w:val="00A4714B"/>
    <w:rsid w:val="00A4797E"/>
    <w:rsid w:val="00A47ADB"/>
    <w:rsid w:val="00A514F1"/>
    <w:rsid w:val="00A51A50"/>
    <w:rsid w:val="00A5209E"/>
    <w:rsid w:val="00A5259C"/>
    <w:rsid w:val="00A53D5C"/>
    <w:rsid w:val="00A54F70"/>
    <w:rsid w:val="00A5589A"/>
    <w:rsid w:val="00A55D48"/>
    <w:rsid w:val="00A574A8"/>
    <w:rsid w:val="00A607F1"/>
    <w:rsid w:val="00A6120A"/>
    <w:rsid w:val="00A62F0D"/>
    <w:rsid w:val="00A6312D"/>
    <w:rsid w:val="00A640B2"/>
    <w:rsid w:val="00A645BB"/>
    <w:rsid w:val="00A666AA"/>
    <w:rsid w:val="00A666BE"/>
    <w:rsid w:val="00A670BF"/>
    <w:rsid w:val="00A675D1"/>
    <w:rsid w:val="00A6767C"/>
    <w:rsid w:val="00A677AC"/>
    <w:rsid w:val="00A70173"/>
    <w:rsid w:val="00A70A14"/>
    <w:rsid w:val="00A71529"/>
    <w:rsid w:val="00A715C9"/>
    <w:rsid w:val="00A71BD1"/>
    <w:rsid w:val="00A7209E"/>
    <w:rsid w:val="00A73672"/>
    <w:rsid w:val="00A73B2B"/>
    <w:rsid w:val="00A73C31"/>
    <w:rsid w:val="00A7485A"/>
    <w:rsid w:val="00A75F07"/>
    <w:rsid w:val="00A76C73"/>
    <w:rsid w:val="00A77DD5"/>
    <w:rsid w:val="00A80569"/>
    <w:rsid w:val="00A8153F"/>
    <w:rsid w:val="00A8187B"/>
    <w:rsid w:val="00A819E0"/>
    <w:rsid w:val="00A81A64"/>
    <w:rsid w:val="00A81DF8"/>
    <w:rsid w:val="00A8425A"/>
    <w:rsid w:val="00A85341"/>
    <w:rsid w:val="00A85991"/>
    <w:rsid w:val="00A85DC4"/>
    <w:rsid w:val="00A87A06"/>
    <w:rsid w:val="00A87EFA"/>
    <w:rsid w:val="00A90542"/>
    <w:rsid w:val="00A91084"/>
    <w:rsid w:val="00A9284B"/>
    <w:rsid w:val="00A92F32"/>
    <w:rsid w:val="00A950E3"/>
    <w:rsid w:val="00A95631"/>
    <w:rsid w:val="00A95984"/>
    <w:rsid w:val="00A959CC"/>
    <w:rsid w:val="00A9641A"/>
    <w:rsid w:val="00A96AE3"/>
    <w:rsid w:val="00A96B1D"/>
    <w:rsid w:val="00A974B5"/>
    <w:rsid w:val="00A979EB"/>
    <w:rsid w:val="00AA00AC"/>
    <w:rsid w:val="00AA0419"/>
    <w:rsid w:val="00AA0D7F"/>
    <w:rsid w:val="00AA0E25"/>
    <w:rsid w:val="00AA139D"/>
    <w:rsid w:val="00AA189E"/>
    <w:rsid w:val="00AA238B"/>
    <w:rsid w:val="00AA27FB"/>
    <w:rsid w:val="00AA2992"/>
    <w:rsid w:val="00AA30D6"/>
    <w:rsid w:val="00AA376F"/>
    <w:rsid w:val="00AA3AAE"/>
    <w:rsid w:val="00AA4011"/>
    <w:rsid w:val="00AA594B"/>
    <w:rsid w:val="00AA671A"/>
    <w:rsid w:val="00AA775E"/>
    <w:rsid w:val="00AB0272"/>
    <w:rsid w:val="00AB02B8"/>
    <w:rsid w:val="00AB19E1"/>
    <w:rsid w:val="00AB3E82"/>
    <w:rsid w:val="00AB448D"/>
    <w:rsid w:val="00AB45D3"/>
    <w:rsid w:val="00AB5B83"/>
    <w:rsid w:val="00AB625C"/>
    <w:rsid w:val="00AB6C61"/>
    <w:rsid w:val="00AC0893"/>
    <w:rsid w:val="00AC1EFE"/>
    <w:rsid w:val="00AC2D88"/>
    <w:rsid w:val="00AC31EB"/>
    <w:rsid w:val="00AC32FD"/>
    <w:rsid w:val="00AC455B"/>
    <w:rsid w:val="00AC45AD"/>
    <w:rsid w:val="00AC4EED"/>
    <w:rsid w:val="00AC58D8"/>
    <w:rsid w:val="00AC5BEE"/>
    <w:rsid w:val="00AC605F"/>
    <w:rsid w:val="00AC637D"/>
    <w:rsid w:val="00AC63AF"/>
    <w:rsid w:val="00AC6461"/>
    <w:rsid w:val="00AC6911"/>
    <w:rsid w:val="00AC6915"/>
    <w:rsid w:val="00AC729F"/>
    <w:rsid w:val="00AC78D4"/>
    <w:rsid w:val="00AC7BC5"/>
    <w:rsid w:val="00AD0634"/>
    <w:rsid w:val="00AD0643"/>
    <w:rsid w:val="00AD09AF"/>
    <w:rsid w:val="00AD0DF3"/>
    <w:rsid w:val="00AD158A"/>
    <w:rsid w:val="00AD1642"/>
    <w:rsid w:val="00AD1791"/>
    <w:rsid w:val="00AD1854"/>
    <w:rsid w:val="00AD1A9D"/>
    <w:rsid w:val="00AD2BE9"/>
    <w:rsid w:val="00AD3645"/>
    <w:rsid w:val="00AD413B"/>
    <w:rsid w:val="00AD41B6"/>
    <w:rsid w:val="00AD499F"/>
    <w:rsid w:val="00AD590C"/>
    <w:rsid w:val="00AD6692"/>
    <w:rsid w:val="00AD66EC"/>
    <w:rsid w:val="00AD7D6F"/>
    <w:rsid w:val="00AE02DC"/>
    <w:rsid w:val="00AE03EE"/>
    <w:rsid w:val="00AE18C9"/>
    <w:rsid w:val="00AE1A2F"/>
    <w:rsid w:val="00AE4070"/>
    <w:rsid w:val="00AE4082"/>
    <w:rsid w:val="00AE4DF2"/>
    <w:rsid w:val="00AE5177"/>
    <w:rsid w:val="00AE59E6"/>
    <w:rsid w:val="00AE647E"/>
    <w:rsid w:val="00AE6C17"/>
    <w:rsid w:val="00AE789B"/>
    <w:rsid w:val="00AE7BF5"/>
    <w:rsid w:val="00AE7F3E"/>
    <w:rsid w:val="00AF045B"/>
    <w:rsid w:val="00AF0608"/>
    <w:rsid w:val="00AF07CC"/>
    <w:rsid w:val="00AF0830"/>
    <w:rsid w:val="00AF0AAB"/>
    <w:rsid w:val="00AF10C4"/>
    <w:rsid w:val="00AF33BE"/>
    <w:rsid w:val="00AF45CD"/>
    <w:rsid w:val="00AF4AD5"/>
    <w:rsid w:val="00AF4B4E"/>
    <w:rsid w:val="00AF5440"/>
    <w:rsid w:val="00AF6855"/>
    <w:rsid w:val="00AF75EE"/>
    <w:rsid w:val="00AF7FF8"/>
    <w:rsid w:val="00B0021C"/>
    <w:rsid w:val="00B00871"/>
    <w:rsid w:val="00B00A7A"/>
    <w:rsid w:val="00B01159"/>
    <w:rsid w:val="00B01312"/>
    <w:rsid w:val="00B01590"/>
    <w:rsid w:val="00B015C3"/>
    <w:rsid w:val="00B016E2"/>
    <w:rsid w:val="00B01A1F"/>
    <w:rsid w:val="00B02662"/>
    <w:rsid w:val="00B048A2"/>
    <w:rsid w:val="00B04E5C"/>
    <w:rsid w:val="00B052FC"/>
    <w:rsid w:val="00B05D52"/>
    <w:rsid w:val="00B06545"/>
    <w:rsid w:val="00B070EB"/>
    <w:rsid w:val="00B07E37"/>
    <w:rsid w:val="00B110C5"/>
    <w:rsid w:val="00B124CA"/>
    <w:rsid w:val="00B127D0"/>
    <w:rsid w:val="00B12827"/>
    <w:rsid w:val="00B1541D"/>
    <w:rsid w:val="00B16A6A"/>
    <w:rsid w:val="00B17002"/>
    <w:rsid w:val="00B17B25"/>
    <w:rsid w:val="00B17C87"/>
    <w:rsid w:val="00B2060A"/>
    <w:rsid w:val="00B212FC"/>
    <w:rsid w:val="00B21B20"/>
    <w:rsid w:val="00B21DA2"/>
    <w:rsid w:val="00B22FAB"/>
    <w:rsid w:val="00B231CA"/>
    <w:rsid w:val="00B2346F"/>
    <w:rsid w:val="00B235B8"/>
    <w:rsid w:val="00B23BE0"/>
    <w:rsid w:val="00B24810"/>
    <w:rsid w:val="00B24AB7"/>
    <w:rsid w:val="00B2524F"/>
    <w:rsid w:val="00B26940"/>
    <w:rsid w:val="00B31BEC"/>
    <w:rsid w:val="00B327F6"/>
    <w:rsid w:val="00B33150"/>
    <w:rsid w:val="00B34162"/>
    <w:rsid w:val="00B34C97"/>
    <w:rsid w:val="00B35458"/>
    <w:rsid w:val="00B35B5A"/>
    <w:rsid w:val="00B40342"/>
    <w:rsid w:val="00B405FA"/>
    <w:rsid w:val="00B40F90"/>
    <w:rsid w:val="00B4152C"/>
    <w:rsid w:val="00B436FE"/>
    <w:rsid w:val="00B439F1"/>
    <w:rsid w:val="00B44938"/>
    <w:rsid w:val="00B44FA6"/>
    <w:rsid w:val="00B457ED"/>
    <w:rsid w:val="00B4622A"/>
    <w:rsid w:val="00B475A8"/>
    <w:rsid w:val="00B476A0"/>
    <w:rsid w:val="00B510DD"/>
    <w:rsid w:val="00B5215D"/>
    <w:rsid w:val="00B5400A"/>
    <w:rsid w:val="00B54593"/>
    <w:rsid w:val="00B54FB0"/>
    <w:rsid w:val="00B56D75"/>
    <w:rsid w:val="00B61675"/>
    <w:rsid w:val="00B61A50"/>
    <w:rsid w:val="00B6270E"/>
    <w:rsid w:val="00B6709A"/>
    <w:rsid w:val="00B705FE"/>
    <w:rsid w:val="00B70A99"/>
    <w:rsid w:val="00B7136C"/>
    <w:rsid w:val="00B7186E"/>
    <w:rsid w:val="00B730DD"/>
    <w:rsid w:val="00B73BE7"/>
    <w:rsid w:val="00B74DBE"/>
    <w:rsid w:val="00B7665C"/>
    <w:rsid w:val="00B77A70"/>
    <w:rsid w:val="00B80D02"/>
    <w:rsid w:val="00B813E7"/>
    <w:rsid w:val="00B8393A"/>
    <w:rsid w:val="00B8497D"/>
    <w:rsid w:val="00B85567"/>
    <w:rsid w:val="00B85FD8"/>
    <w:rsid w:val="00B86387"/>
    <w:rsid w:val="00B86427"/>
    <w:rsid w:val="00B8787F"/>
    <w:rsid w:val="00B902FE"/>
    <w:rsid w:val="00B91575"/>
    <w:rsid w:val="00B91648"/>
    <w:rsid w:val="00B94D45"/>
    <w:rsid w:val="00B95B9F"/>
    <w:rsid w:val="00B95D31"/>
    <w:rsid w:val="00B967CC"/>
    <w:rsid w:val="00BA022B"/>
    <w:rsid w:val="00BA0BED"/>
    <w:rsid w:val="00BA16B4"/>
    <w:rsid w:val="00BA19F4"/>
    <w:rsid w:val="00BA2A1E"/>
    <w:rsid w:val="00BA3851"/>
    <w:rsid w:val="00BA402A"/>
    <w:rsid w:val="00BA45A3"/>
    <w:rsid w:val="00BA5F20"/>
    <w:rsid w:val="00BA61DB"/>
    <w:rsid w:val="00BA675D"/>
    <w:rsid w:val="00BA711C"/>
    <w:rsid w:val="00BA7685"/>
    <w:rsid w:val="00BA775F"/>
    <w:rsid w:val="00BA7874"/>
    <w:rsid w:val="00BA7F96"/>
    <w:rsid w:val="00BB018D"/>
    <w:rsid w:val="00BB034A"/>
    <w:rsid w:val="00BB10DA"/>
    <w:rsid w:val="00BB134C"/>
    <w:rsid w:val="00BB267C"/>
    <w:rsid w:val="00BB2BB3"/>
    <w:rsid w:val="00BB2D53"/>
    <w:rsid w:val="00BB401C"/>
    <w:rsid w:val="00BB52F7"/>
    <w:rsid w:val="00BB5E2E"/>
    <w:rsid w:val="00BB6017"/>
    <w:rsid w:val="00BB6153"/>
    <w:rsid w:val="00BB66E0"/>
    <w:rsid w:val="00BB7219"/>
    <w:rsid w:val="00BB739C"/>
    <w:rsid w:val="00BC0363"/>
    <w:rsid w:val="00BC05B5"/>
    <w:rsid w:val="00BC15F3"/>
    <w:rsid w:val="00BC1984"/>
    <w:rsid w:val="00BC19B3"/>
    <w:rsid w:val="00BC1A4F"/>
    <w:rsid w:val="00BC2B5C"/>
    <w:rsid w:val="00BC2D9D"/>
    <w:rsid w:val="00BC3026"/>
    <w:rsid w:val="00BC3EB1"/>
    <w:rsid w:val="00BC4354"/>
    <w:rsid w:val="00BC52D9"/>
    <w:rsid w:val="00BC5C24"/>
    <w:rsid w:val="00BC67E5"/>
    <w:rsid w:val="00BC69A5"/>
    <w:rsid w:val="00BC727C"/>
    <w:rsid w:val="00BC74B9"/>
    <w:rsid w:val="00BD16BD"/>
    <w:rsid w:val="00BD1A4D"/>
    <w:rsid w:val="00BD2FE1"/>
    <w:rsid w:val="00BD3030"/>
    <w:rsid w:val="00BD57C1"/>
    <w:rsid w:val="00BD63F3"/>
    <w:rsid w:val="00BD6B30"/>
    <w:rsid w:val="00BD6B54"/>
    <w:rsid w:val="00BD6C4F"/>
    <w:rsid w:val="00BD6F60"/>
    <w:rsid w:val="00BD7CCD"/>
    <w:rsid w:val="00BD7F9F"/>
    <w:rsid w:val="00BE13C6"/>
    <w:rsid w:val="00BE296D"/>
    <w:rsid w:val="00BE2CF4"/>
    <w:rsid w:val="00BE2F5D"/>
    <w:rsid w:val="00BE30E2"/>
    <w:rsid w:val="00BE3622"/>
    <w:rsid w:val="00BE4FBE"/>
    <w:rsid w:val="00BE5BB0"/>
    <w:rsid w:val="00BE6A46"/>
    <w:rsid w:val="00BE7265"/>
    <w:rsid w:val="00BE76EB"/>
    <w:rsid w:val="00BE7B5F"/>
    <w:rsid w:val="00BF08F9"/>
    <w:rsid w:val="00BF10F3"/>
    <w:rsid w:val="00BF11FD"/>
    <w:rsid w:val="00BF208D"/>
    <w:rsid w:val="00BF23F2"/>
    <w:rsid w:val="00BF3D4E"/>
    <w:rsid w:val="00BF476B"/>
    <w:rsid w:val="00BF4A97"/>
    <w:rsid w:val="00BF57D0"/>
    <w:rsid w:val="00BF6316"/>
    <w:rsid w:val="00BF7876"/>
    <w:rsid w:val="00C007FE"/>
    <w:rsid w:val="00C01F7F"/>
    <w:rsid w:val="00C021A3"/>
    <w:rsid w:val="00C02493"/>
    <w:rsid w:val="00C02AA2"/>
    <w:rsid w:val="00C02DBF"/>
    <w:rsid w:val="00C02F1B"/>
    <w:rsid w:val="00C043F7"/>
    <w:rsid w:val="00C044CA"/>
    <w:rsid w:val="00C04A05"/>
    <w:rsid w:val="00C04E8A"/>
    <w:rsid w:val="00C04F80"/>
    <w:rsid w:val="00C054B9"/>
    <w:rsid w:val="00C05677"/>
    <w:rsid w:val="00C06000"/>
    <w:rsid w:val="00C068E4"/>
    <w:rsid w:val="00C06A75"/>
    <w:rsid w:val="00C076A5"/>
    <w:rsid w:val="00C07F95"/>
    <w:rsid w:val="00C1101D"/>
    <w:rsid w:val="00C11267"/>
    <w:rsid w:val="00C138EC"/>
    <w:rsid w:val="00C13BC1"/>
    <w:rsid w:val="00C13E3F"/>
    <w:rsid w:val="00C140A5"/>
    <w:rsid w:val="00C15BE5"/>
    <w:rsid w:val="00C16D48"/>
    <w:rsid w:val="00C17373"/>
    <w:rsid w:val="00C179F8"/>
    <w:rsid w:val="00C17CB7"/>
    <w:rsid w:val="00C20207"/>
    <w:rsid w:val="00C21356"/>
    <w:rsid w:val="00C216B3"/>
    <w:rsid w:val="00C229A8"/>
    <w:rsid w:val="00C236E8"/>
    <w:rsid w:val="00C245B8"/>
    <w:rsid w:val="00C25A11"/>
    <w:rsid w:val="00C25BA1"/>
    <w:rsid w:val="00C25DCD"/>
    <w:rsid w:val="00C26BD4"/>
    <w:rsid w:val="00C305D3"/>
    <w:rsid w:val="00C3152F"/>
    <w:rsid w:val="00C323FE"/>
    <w:rsid w:val="00C329D2"/>
    <w:rsid w:val="00C3315B"/>
    <w:rsid w:val="00C33A41"/>
    <w:rsid w:val="00C3425F"/>
    <w:rsid w:val="00C3470B"/>
    <w:rsid w:val="00C34D53"/>
    <w:rsid w:val="00C34E16"/>
    <w:rsid w:val="00C35003"/>
    <w:rsid w:val="00C3504E"/>
    <w:rsid w:val="00C36867"/>
    <w:rsid w:val="00C3733E"/>
    <w:rsid w:val="00C378B0"/>
    <w:rsid w:val="00C37A08"/>
    <w:rsid w:val="00C41814"/>
    <w:rsid w:val="00C42265"/>
    <w:rsid w:val="00C42A6D"/>
    <w:rsid w:val="00C42E8E"/>
    <w:rsid w:val="00C4393F"/>
    <w:rsid w:val="00C44409"/>
    <w:rsid w:val="00C451A8"/>
    <w:rsid w:val="00C45407"/>
    <w:rsid w:val="00C46CCC"/>
    <w:rsid w:val="00C52BB1"/>
    <w:rsid w:val="00C52EDB"/>
    <w:rsid w:val="00C53567"/>
    <w:rsid w:val="00C53CD3"/>
    <w:rsid w:val="00C53EE6"/>
    <w:rsid w:val="00C5472F"/>
    <w:rsid w:val="00C55B33"/>
    <w:rsid w:val="00C55B78"/>
    <w:rsid w:val="00C55B7D"/>
    <w:rsid w:val="00C55CF3"/>
    <w:rsid w:val="00C57695"/>
    <w:rsid w:val="00C57A7E"/>
    <w:rsid w:val="00C60C2F"/>
    <w:rsid w:val="00C60F06"/>
    <w:rsid w:val="00C60F63"/>
    <w:rsid w:val="00C61140"/>
    <w:rsid w:val="00C62A0C"/>
    <w:rsid w:val="00C63C16"/>
    <w:rsid w:val="00C648FA"/>
    <w:rsid w:val="00C64B5B"/>
    <w:rsid w:val="00C654EA"/>
    <w:rsid w:val="00C65D1D"/>
    <w:rsid w:val="00C672E0"/>
    <w:rsid w:val="00C702AE"/>
    <w:rsid w:val="00C71F7F"/>
    <w:rsid w:val="00C721DD"/>
    <w:rsid w:val="00C731D2"/>
    <w:rsid w:val="00C731FE"/>
    <w:rsid w:val="00C733BB"/>
    <w:rsid w:val="00C73647"/>
    <w:rsid w:val="00C738CF"/>
    <w:rsid w:val="00C74393"/>
    <w:rsid w:val="00C74C03"/>
    <w:rsid w:val="00C7511A"/>
    <w:rsid w:val="00C754DB"/>
    <w:rsid w:val="00C761AF"/>
    <w:rsid w:val="00C769F8"/>
    <w:rsid w:val="00C76EC3"/>
    <w:rsid w:val="00C76FC1"/>
    <w:rsid w:val="00C7714B"/>
    <w:rsid w:val="00C776B1"/>
    <w:rsid w:val="00C8059C"/>
    <w:rsid w:val="00C811CE"/>
    <w:rsid w:val="00C813CD"/>
    <w:rsid w:val="00C81596"/>
    <w:rsid w:val="00C821B0"/>
    <w:rsid w:val="00C82A96"/>
    <w:rsid w:val="00C83424"/>
    <w:rsid w:val="00C83E46"/>
    <w:rsid w:val="00C8426F"/>
    <w:rsid w:val="00C849A5"/>
    <w:rsid w:val="00C84B1A"/>
    <w:rsid w:val="00C8540B"/>
    <w:rsid w:val="00C86793"/>
    <w:rsid w:val="00C90727"/>
    <w:rsid w:val="00C90D88"/>
    <w:rsid w:val="00C91632"/>
    <w:rsid w:val="00C91D47"/>
    <w:rsid w:val="00C92B84"/>
    <w:rsid w:val="00C92FD7"/>
    <w:rsid w:val="00C93FA7"/>
    <w:rsid w:val="00C941C1"/>
    <w:rsid w:val="00C944B3"/>
    <w:rsid w:val="00C971D3"/>
    <w:rsid w:val="00CA0ADC"/>
    <w:rsid w:val="00CA15AD"/>
    <w:rsid w:val="00CA1678"/>
    <w:rsid w:val="00CA38F8"/>
    <w:rsid w:val="00CA3AB1"/>
    <w:rsid w:val="00CA3D60"/>
    <w:rsid w:val="00CA46FE"/>
    <w:rsid w:val="00CA4D16"/>
    <w:rsid w:val="00CA60E8"/>
    <w:rsid w:val="00CA644C"/>
    <w:rsid w:val="00CA6E2E"/>
    <w:rsid w:val="00CA71D6"/>
    <w:rsid w:val="00CA7E4B"/>
    <w:rsid w:val="00CB014C"/>
    <w:rsid w:val="00CB0902"/>
    <w:rsid w:val="00CB09ED"/>
    <w:rsid w:val="00CB0C3C"/>
    <w:rsid w:val="00CB10F1"/>
    <w:rsid w:val="00CB1A7A"/>
    <w:rsid w:val="00CB1F4E"/>
    <w:rsid w:val="00CB42C6"/>
    <w:rsid w:val="00CB63C6"/>
    <w:rsid w:val="00CB66A7"/>
    <w:rsid w:val="00CC0012"/>
    <w:rsid w:val="00CC1E0B"/>
    <w:rsid w:val="00CC20BA"/>
    <w:rsid w:val="00CC213B"/>
    <w:rsid w:val="00CC2178"/>
    <w:rsid w:val="00CC25BC"/>
    <w:rsid w:val="00CC2C3A"/>
    <w:rsid w:val="00CC3278"/>
    <w:rsid w:val="00CC3638"/>
    <w:rsid w:val="00CC41AD"/>
    <w:rsid w:val="00CC48BB"/>
    <w:rsid w:val="00CC4C8E"/>
    <w:rsid w:val="00CC4DC6"/>
    <w:rsid w:val="00CC6699"/>
    <w:rsid w:val="00CC72F2"/>
    <w:rsid w:val="00CC7321"/>
    <w:rsid w:val="00CC7701"/>
    <w:rsid w:val="00CD2176"/>
    <w:rsid w:val="00CD3669"/>
    <w:rsid w:val="00CD38C6"/>
    <w:rsid w:val="00CD38FE"/>
    <w:rsid w:val="00CD3FDA"/>
    <w:rsid w:val="00CD4244"/>
    <w:rsid w:val="00CD47A9"/>
    <w:rsid w:val="00CD4977"/>
    <w:rsid w:val="00CD5862"/>
    <w:rsid w:val="00CD5DA9"/>
    <w:rsid w:val="00CD6632"/>
    <w:rsid w:val="00CD6992"/>
    <w:rsid w:val="00CD7613"/>
    <w:rsid w:val="00CD78B7"/>
    <w:rsid w:val="00CE0339"/>
    <w:rsid w:val="00CE0C3D"/>
    <w:rsid w:val="00CE0E7A"/>
    <w:rsid w:val="00CE1826"/>
    <w:rsid w:val="00CE2571"/>
    <w:rsid w:val="00CE3217"/>
    <w:rsid w:val="00CE4D1E"/>
    <w:rsid w:val="00CE578F"/>
    <w:rsid w:val="00CE5A2B"/>
    <w:rsid w:val="00CF0291"/>
    <w:rsid w:val="00CF035F"/>
    <w:rsid w:val="00CF0B5E"/>
    <w:rsid w:val="00CF0F29"/>
    <w:rsid w:val="00CF13F2"/>
    <w:rsid w:val="00CF1433"/>
    <w:rsid w:val="00CF2B28"/>
    <w:rsid w:val="00CF2CA1"/>
    <w:rsid w:val="00CF35E0"/>
    <w:rsid w:val="00CF42FA"/>
    <w:rsid w:val="00CF43E2"/>
    <w:rsid w:val="00CF555D"/>
    <w:rsid w:val="00CF56E8"/>
    <w:rsid w:val="00CF58AC"/>
    <w:rsid w:val="00CF5D82"/>
    <w:rsid w:val="00CF667A"/>
    <w:rsid w:val="00CF6E63"/>
    <w:rsid w:val="00CF7B9F"/>
    <w:rsid w:val="00D00493"/>
    <w:rsid w:val="00D00E35"/>
    <w:rsid w:val="00D00F1D"/>
    <w:rsid w:val="00D00F3E"/>
    <w:rsid w:val="00D01768"/>
    <w:rsid w:val="00D01CD1"/>
    <w:rsid w:val="00D034B2"/>
    <w:rsid w:val="00D03D8E"/>
    <w:rsid w:val="00D04053"/>
    <w:rsid w:val="00D04F6B"/>
    <w:rsid w:val="00D051BB"/>
    <w:rsid w:val="00D058AF"/>
    <w:rsid w:val="00D06CB9"/>
    <w:rsid w:val="00D0701B"/>
    <w:rsid w:val="00D0761A"/>
    <w:rsid w:val="00D0774D"/>
    <w:rsid w:val="00D07D7B"/>
    <w:rsid w:val="00D07EC8"/>
    <w:rsid w:val="00D11BEF"/>
    <w:rsid w:val="00D1223E"/>
    <w:rsid w:val="00D12554"/>
    <w:rsid w:val="00D12BE9"/>
    <w:rsid w:val="00D13858"/>
    <w:rsid w:val="00D13AB2"/>
    <w:rsid w:val="00D13F60"/>
    <w:rsid w:val="00D14E0A"/>
    <w:rsid w:val="00D150D3"/>
    <w:rsid w:val="00D15925"/>
    <w:rsid w:val="00D1596A"/>
    <w:rsid w:val="00D160F7"/>
    <w:rsid w:val="00D166DA"/>
    <w:rsid w:val="00D17B6E"/>
    <w:rsid w:val="00D20A9C"/>
    <w:rsid w:val="00D20AAF"/>
    <w:rsid w:val="00D21BC5"/>
    <w:rsid w:val="00D2272C"/>
    <w:rsid w:val="00D22894"/>
    <w:rsid w:val="00D22904"/>
    <w:rsid w:val="00D22B45"/>
    <w:rsid w:val="00D230CB"/>
    <w:rsid w:val="00D23147"/>
    <w:rsid w:val="00D2386F"/>
    <w:rsid w:val="00D2435B"/>
    <w:rsid w:val="00D24FA7"/>
    <w:rsid w:val="00D2638B"/>
    <w:rsid w:val="00D265AC"/>
    <w:rsid w:val="00D26D1C"/>
    <w:rsid w:val="00D274EA"/>
    <w:rsid w:val="00D302F3"/>
    <w:rsid w:val="00D30EE3"/>
    <w:rsid w:val="00D31C01"/>
    <w:rsid w:val="00D31CCD"/>
    <w:rsid w:val="00D33607"/>
    <w:rsid w:val="00D34BB4"/>
    <w:rsid w:val="00D35145"/>
    <w:rsid w:val="00D355FF"/>
    <w:rsid w:val="00D35F04"/>
    <w:rsid w:val="00D36047"/>
    <w:rsid w:val="00D37831"/>
    <w:rsid w:val="00D4056E"/>
    <w:rsid w:val="00D40FDE"/>
    <w:rsid w:val="00D41165"/>
    <w:rsid w:val="00D4281D"/>
    <w:rsid w:val="00D42AD6"/>
    <w:rsid w:val="00D43904"/>
    <w:rsid w:val="00D4493D"/>
    <w:rsid w:val="00D44B78"/>
    <w:rsid w:val="00D44C88"/>
    <w:rsid w:val="00D45214"/>
    <w:rsid w:val="00D45971"/>
    <w:rsid w:val="00D45B7D"/>
    <w:rsid w:val="00D4648F"/>
    <w:rsid w:val="00D465EC"/>
    <w:rsid w:val="00D46A85"/>
    <w:rsid w:val="00D508E2"/>
    <w:rsid w:val="00D50981"/>
    <w:rsid w:val="00D50D50"/>
    <w:rsid w:val="00D50E3E"/>
    <w:rsid w:val="00D5107B"/>
    <w:rsid w:val="00D51641"/>
    <w:rsid w:val="00D5183C"/>
    <w:rsid w:val="00D518E7"/>
    <w:rsid w:val="00D55003"/>
    <w:rsid w:val="00D55180"/>
    <w:rsid w:val="00D55A63"/>
    <w:rsid w:val="00D56560"/>
    <w:rsid w:val="00D60062"/>
    <w:rsid w:val="00D611EB"/>
    <w:rsid w:val="00D61601"/>
    <w:rsid w:val="00D6186A"/>
    <w:rsid w:val="00D61A65"/>
    <w:rsid w:val="00D6203B"/>
    <w:rsid w:val="00D6262D"/>
    <w:rsid w:val="00D629E8"/>
    <w:rsid w:val="00D63B77"/>
    <w:rsid w:val="00D64A94"/>
    <w:rsid w:val="00D65B8B"/>
    <w:rsid w:val="00D668B5"/>
    <w:rsid w:val="00D674B9"/>
    <w:rsid w:val="00D678EF"/>
    <w:rsid w:val="00D7069B"/>
    <w:rsid w:val="00D70D31"/>
    <w:rsid w:val="00D72CD5"/>
    <w:rsid w:val="00D7324A"/>
    <w:rsid w:val="00D73A68"/>
    <w:rsid w:val="00D743FB"/>
    <w:rsid w:val="00D748B6"/>
    <w:rsid w:val="00D75271"/>
    <w:rsid w:val="00D75712"/>
    <w:rsid w:val="00D75D8B"/>
    <w:rsid w:val="00D75EB3"/>
    <w:rsid w:val="00D76A81"/>
    <w:rsid w:val="00D777F4"/>
    <w:rsid w:val="00D77C34"/>
    <w:rsid w:val="00D80416"/>
    <w:rsid w:val="00D806C5"/>
    <w:rsid w:val="00D80AD5"/>
    <w:rsid w:val="00D81518"/>
    <w:rsid w:val="00D82374"/>
    <w:rsid w:val="00D83A90"/>
    <w:rsid w:val="00D84311"/>
    <w:rsid w:val="00D85E8F"/>
    <w:rsid w:val="00D87229"/>
    <w:rsid w:val="00D8735F"/>
    <w:rsid w:val="00D90A0C"/>
    <w:rsid w:val="00D90E00"/>
    <w:rsid w:val="00D927A3"/>
    <w:rsid w:val="00D94E73"/>
    <w:rsid w:val="00D9525C"/>
    <w:rsid w:val="00D9621A"/>
    <w:rsid w:val="00D96CA5"/>
    <w:rsid w:val="00D9773F"/>
    <w:rsid w:val="00D97CA4"/>
    <w:rsid w:val="00DA01BB"/>
    <w:rsid w:val="00DA075A"/>
    <w:rsid w:val="00DA07B4"/>
    <w:rsid w:val="00DA0941"/>
    <w:rsid w:val="00DA1381"/>
    <w:rsid w:val="00DA56DF"/>
    <w:rsid w:val="00DA57CF"/>
    <w:rsid w:val="00DA587F"/>
    <w:rsid w:val="00DA5ABC"/>
    <w:rsid w:val="00DA6582"/>
    <w:rsid w:val="00DA65D8"/>
    <w:rsid w:val="00DA6F5F"/>
    <w:rsid w:val="00DA7DC9"/>
    <w:rsid w:val="00DB06D0"/>
    <w:rsid w:val="00DB0F53"/>
    <w:rsid w:val="00DB1132"/>
    <w:rsid w:val="00DB129B"/>
    <w:rsid w:val="00DB2F6E"/>
    <w:rsid w:val="00DB3382"/>
    <w:rsid w:val="00DB347A"/>
    <w:rsid w:val="00DB35B3"/>
    <w:rsid w:val="00DB45F9"/>
    <w:rsid w:val="00DB477D"/>
    <w:rsid w:val="00DB4D26"/>
    <w:rsid w:val="00DB5034"/>
    <w:rsid w:val="00DB5991"/>
    <w:rsid w:val="00DB5E11"/>
    <w:rsid w:val="00DB6261"/>
    <w:rsid w:val="00DB6370"/>
    <w:rsid w:val="00DB698F"/>
    <w:rsid w:val="00DB7973"/>
    <w:rsid w:val="00DB7F2C"/>
    <w:rsid w:val="00DC05E8"/>
    <w:rsid w:val="00DC0861"/>
    <w:rsid w:val="00DC0CB9"/>
    <w:rsid w:val="00DC0D62"/>
    <w:rsid w:val="00DC1952"/>
    <w:rsid w:val="00DC1A6A"/>
    <w:rsid w:val="00DC1BAD"/>
    <w:rsid w:val="00DC2468"/>
    <w:rsid w:val="00DC26EB"/>
    <w:rsid w:val="00DC475E"/>
    <w:rsid w:val="00DC623B"/>
    <w:rsid w:val="00DC6F90"/>
    <w:rsid w:val="00DC7D24"/>
    <w:rsid w:val="00DD0DC7"/>
    <w:rsid w:val="00DD2314"/>
    <w:rsid w:val="00DD2430"/>
    <w:rsid w:val="00DD29EF"/>
    <w:rsid w:val="00DD2C3C"/>
    <w:rsid w:val="00DD3632"/>
    <w:rsid w:val="00DD3F68"/>
    <w:rsid w:val="00DD498B"/>
    <w:rsid w:val="00DD52A5"/>
    <w:rsid w:val="00DD5422"/>
    <w:rsid w:val="00DD57EE"/>
    <w:rsid w:val="00DD6DEA"/>
    <w:rsid w:val="00DE02AF"/>
    <w:rsid w:val="00DE070C"/>
    <w:rsid w:val="00DE133E"/>
    <w:rsid w:val="00DE1734"/>
    <w:rsid w:val="00DE2106"/>
    <w:rsid w:val="00DE24E1"/>
    <w:rsid w:val="00DE3423"/>
    <w:rsid w:val="00DE37A0"/>
    <w:rsid w:val="00DE55A9"/>
    <w:rsid w:val="00DE5848"/>
    <w:rsid w:val="00DE60A9"/>
    <w:rsid w:val="00DE75F8"/>
    <w:rsid w:val="00DE79E2"/>
    <w:rsid w:val="00DE7A7B"/>
    <w:rsid w:val="00DF1C65"/>
    <w:rsid w:val="00DF3A81"/>
    <w:rsid w:val="00DF4DD9"/>
    <w:rsid w:val="00DF5ADB"/>
    <w:rsid w:val="00DF675F"/>
    <w:rsid w:val="00DF6841"/>
    <w:rsid w:val="00DF68B4"/>
    <w:rsid w:val="00E00070"/>
    <w:rsid w:val="00E00B1D"/>
    <w:rsid w:val="00E00C21"/>
    <w:rsid w:val="00E02BA9"/>
    <w:rsid w:val="00E04595"/>
    <w:rsid w:val="00E04703"/>
    <w:rsid w:val="00E04877"/>
    <w:rsid w:val="00E04DA1"/>
    <w:rsid w:val="00E04E8F"/>
    <w:rsid w:val="00E0501F"/>
    <w:rsid w:val="00E05B6C"/>
    <w:rsid w:val="00E05C27"/>
    <w:rsid w:val="00E06173"/>
    <w:rsid w:val="00E0630D"/>
    <w:rsid w:val="00E06A7C"/>
    <w:rsid w:val="00E1087B"/>
    <w:rsid w:val="00E10B41"/>
    <w:rsid w:val="00E1453C"/>
    <w:rsid w:val="00E145D5"/>
    <w:rsid w:val="00E14A0F"/>
    <w:rsid w:val="00E14B76"/>
    <w:rsid w:val="00E15096"/>
    <w:rsid w:val="00E15379"/>
    <w:rsid w:val="00E2012D"/>
    <w:rsid w:val="00E20CB1"/>
    <w:rsid w:val="00E218C6"/>
    <w:rsid w:val="00E21E9B"/>
    <w:rsid w:val="00E21FB8"/>
    <w:rsid w:val="00E228A6"/>
    <w:rsid w:val="00E22BB5"/>
    <w:rsid w:val="00E23132"/>
    <w:rsid w:val="00E23A30"/>
    <w:rsid w:val="00E24757"/>
    <w:rsid w:val="00E25082"/>
    <w:rsid w:val="00E258F0"/>
    <w:rsid w:val="00E25D27"/>
    <w:rsid w:val="00E261FD"/>
    <w:rsid w:val="00E26B9F"/>
    <w:rsid w:val="00E270D6"/>
    <w:rsid w:val="00E30E6A"/>
    <w:rsid w:val="00E31394"/>
    <w:rsid w:val="00E3157C"/>
    <w:rsid w:val="00E32614"/>
    <w:rsid w:val="00E3275A"/>
    <w:rsid w:val="00E3717A"/>
    <w:rsid w:val="00E37244"/>
    <w:rsid w:val="00E372C8"/>
    <w:rsid w:val="00E3752F"/>
    <w:rsid w:val="00E37B07"/>
    <w:rsid w:val="00E401CB"/>
    <w:rsid w:val="00E409C1"/>
    <w:rsid w:val="00E410EE"/>
    <w:rsid w:val="00E428A4"/>
    <w:rsid w:val="00E42B83"/>
    <w:rsid w:val="00E42FC5"/>
    <w:rsid w:val="00E43312"/>
    <w:rsid w:val="00E43EE6"/>
    <w:rsid w:val="00E46C8F"/>
    <w:rsid w:val="00E46D16"/>
    <w:rsid w:val="00E508A5"/>
    <w:rsid w:val="00E50BAB"/>
    <w:rsid w:val="00E50F13"/>
    <w:rsid w:val="00E5113C"/>
    <w:rsid w:val="00E53395"/>
    <w:rsid w:val="00E53C4B"/>
    <w:rsid w:val="00E54454"/>
    <w:rsid w:val="00E5457E"/>
    <w:rsid w:val="00E55156"/>
    <w:rsid w:val="00E56F9B"/>
    <w:rsid w:val="00E57A74"/>
    <w:rsid w:val="00E57FC5"/>
    <w:rsid w:val="00E60660"/>
    <w:rsid w:val="00E60E77"/>
    <w:rsid w:val="00E61D18"/>
    <w:rsid w:val="00E622C9"/>
    <w:rsid w:val="00E628EE"/>
    <w:rsid w:val="00E62C4F"/>
    <w:rsid w:val="00E639E0"/>
    <w:rsid w:val="00E63D5B"/>
    <w:rsid w:val="00E63E89"/>
    <w:rsid w:val="00E64C3E"/>
    <w:rsid w:val="00E64FD3"/>
    <w:rsid w:val="00E65E68"/>
    <w:rsid w:val="00E66C77"/>
    <w:rsid w:val="00E67AD8"/>
    <w:rsid w:val="00E67D63"/>
    <w:rsid w:val="00E70552"/>
    <w:rsid w:val="00E7120F"/>
    <w:rsid w:val="00E72B7B"/>
    <w:rsid w:val="00E72BC9"/>
    <w:rsid w:val="00E7471E"/>
    <w:rsid w:val="00E7477F"/>
    <w:rsid w:val="00E74831"/>
    <w:rsid w:val="00E756B3"/>
    <w:rsid w:val="00E75A42"/>
    <w:rsid w:val="00E76894"/>
    <w:rsid w:val="00E76CBF"/>
    <w:rsid w:val="00E77054"/>
    <w:rsid w:val="00E77C52"/>
    <w:rsid w:val="00E77C53"/>
    <w:rsid w:val="00E800AF"/>
    <w:rsid w:val="00E8047B"/>
    <w:rsid w:val="00E80C33"/>
    <w:rsid w:val="00E814A0"/>
    <w:rsid w:val="00E81708"/>
    <w:rsid w:val="00E817EB"/>
    <w:rsid w:val="00E84321"/>
    <w:rsid w:val="00E843A9"/>
    <w:rsid w:val="00E84E5E"/>
    <w:rsid w:val="00E87A0E"/>
    <w:rsid w:val="00E9001F"/>
    <w:rsid w:val="00E91F28"/>
    <w:rsid w:val="00E9221B"/>
    <w:rsid w:val="00E926A3"/>
    <w:rsid w:val="00E930BC"/>
    <w:rsid w:val="00E94D51"/>
    <w:rsid w:val="00E952F3"/>
    <w:rsid w:val="00E96A55"/>
    <w:rsid w:val="00E971B7"/>
    <w:rsid w:val="00E973AF"/>
    <w:rsid w:val="00E97D36"/>
    <w:rsid w:val="00E97DCB"/>
    <w:rsid w:val="00EA023F"/>
    <w:rsid w:val="00EA0BBD"/>
    <w:rsid w:val="00EA1C53"/>
    <w:rsid w:val="00EA27B3"/>
    <w:rsid w:val="00EA2A1A"/>
    <w:rsid w:val="00EA3110"/>
    <w:rsid w:val="00EA3D8D"/>
    <w:rsid w:val="00EA4E15"/>
    <w:rsid w:val="00EA4EB7"/>
    <w:rsid w:val="00EA5EBB"/>
    <w:rsid w:val="00EA6EFA"/>
    <w:rsid w:val="00EA789F"/>
    <w:rsid w:val="00EA7A80"/>
    <w:rsid w:val="00EA7B4F"/>
    <w:rsid w:val="00EA7E02"/>
    <w:rsid w:val="00EB1053"/>
    <w:rsid w:val="00EB234B"/>
    <w:rsid w:val="00EB3980"/>
    <w:rsid w:val="00EB426B"/>
    <w:rsid w:val="00EB4946"/>
    <w:rsid w:val="00EB5082"/>
    <w:rsid w:val="00EB5C46"/>
    <w:rsid w:val="00EB5DD8"/>
    <w:rsid w:val="00EB7D29"/>
    <w:rsid w:val="00EC030E"/>
    <w:rsid w:val="00EC08DF"/>
    <w:rsid w:val="00EC13F5"/>
    <w:rsid w:val="00EC144D"/>
    <w:rsid w:val="00EC175E"/>
    <w:rsid w:val="00EC1DC0"/>
    <w:rsid w:val="00EC36BA"/>
    <w:rsid w:val="00EC3717"/>
    <w:rsid w:val="00EC3D12"/>
    <w:rsid w:val="00EC3DA0"/>
    <w:rsid w:val="00EC3EEE"/>
    <w:rsid w:val="00EC44F5"/>
    <w:rsid w:val="00EC52E1"/>
    <w:rsid w:val="00ED1759"/>
    <w:rsid w:val="00ED2127"/>
    <w:rsid w:val="00ED2156"/>
    <w:rsid w:val="00ED2DAC"/>
    <w:rsid w:val="00ED32C8"/>
    <w:rsid w:val="00ED35A4"/>
    <w:rsid w:val="00ED46AB"/>
    <w:rsid w:val="00ED56D3"/>
    <w:rsid w:val="00ED5FBB"/>
    <w:rsid w:val="00ED6DF6"/>
    <w:rsid w:val="00ED7411"/>
    <w:rsid w:val="00ED7EF3"/>
    <w:rsid w:val="00EE07F0"/>
    <w:rsid w:val="00EE0834"/>
    <w:rsid w:val="00EE0BCB"/>
    <w:rsid w:val="00EE234E"/>
    <w:rsid w:val="00EE2D32"/>
    <w:rsid w:val="00EE36FF"/>
    <w:rsid w:val="00EE3A45"/>
    <w:rsid w:val="00EE4615"/>
    <w:rsid w:val="00EE4717"/>
    <w:rsid w:val="00EE5A95"/>
    <w:rsid w:val="00EE5FB6"/>
    <w:rsid w:val="00EE6600"/>
    <w:rsid w:val="00EE686F"/>
    <w:rsid w:val="00EE69EE"/>
    <w:rsid w:val="00EE6BB1"/>
    <w:rsid w:val="00EE739C"/>
    <w:rsid w:val="00EE7512"/>
    <w:rsid w:val="00EE7CEE"/>
    <w:rsid w:val="00EF0D53"/>
    <w:rsid w:val="00EF18BD"/>
    <w:rsid w:val="00EF1CBA"/>
    <w:rsid w:val="00EF23EE"/>
    <w:rsid w:val="00EF33FE"/>
    <w:rsid w:val="00EF4133"/>
    <w:rsid w:val="00EF43DE"/>
    <w:rsid w:val="00EF616E"/>
    <w:rsid w:val="00EF6479"/>
    <w:rsid w:val="00EF6733"/>
    <w:rsid w:val="00EF6B2A"/>
    <w:rsid w:val="00EF785D"/>
    <w:rsid w:val="00F00D63"/>
    <w:rsid w:val="00F014CE"/>
    <w:rsid w:val="00F018CF"/>
    <w:rsid w:val="00F020BB"/>
    <w:rsid w:val="00F0216A"/>
    <w:rsid w:val="00F023FF"/>
    <w:rsid w:val="00F024A6"/>
    <w:rsid w:val="00F03173"/>
    <w:rsid w:val="00F0598A"/>
    <w:rsid w:val="00F063B4"/>
    <w:rsid w:val="00F06878"/>
    <w:rsid w:val="00F0689C"/>
    <w:rsid w:val="00F10210"/>
    <w:rsid w:val="00F1037E"/>
    <w:rsid w:val="00F10602"/>
    <w:rsid w:val="00F10B00"/>
    <w:rsid w:val="00F11224"/>
    <w:rsid w:val="00F12B9F"/>
    <w:rsid w:val="00F12C02"/>
    <w:rsid w:val="00F12D0F"/>
    <w:rsid w:val="00F12F5E"/>
    <w:rsid w:val="00F13515"/>
    <w:rsid w:val="00F13920"/>
    <w:rsid w:val="00F145C3"/>
    <w:rsid w:val="00F14A13"/>
    <w:rsid w:val="00F15D38"/>
    <w:rsid w:val="00F15E14"/>
    <w:rsid w:val="00F1657B"/>
    <w:rsid w:val="00F16D5E"/>
    <w:rsid w:val="00F17294"/>
    <w:rsid w:val="00F17E38"/>
    <w:rsid w:val="00F20905"/>
    <w:rsid w:val="00F21219"/>
    <w:rsid w:val="00F21367"/>
    <w:rsid w:val="00F21CC7"/>
    <w:rsid w:val="00F21D8E"/>
    <w:rsid w:val="00F229B0"/>
    <w:rsid w:val="00F2379B"/>
    <w:rsid w:val="00F2492F"/>
    <w:rsid w:val="00F24A91"/>
    <w:rsid w:val="00F2522B"/>
    <w:rsid w:val="00F25EAE"/>
    <w:rsid w:val="00F264DB"/>
    <w:rsid w:val="00F27124"/>
    <w:rsid w:val="00F307D9"/>
    <w:rsid w:val="00F311D0"/>
    <w:rsid w:val="00F31553"/>
    <w:rsid w:val="00F31E74"/>
    <w:rsid w:val="00F32804"/>
    <w:rsid w:val="00F33F23"/>
    <w:rsid w:val="00F349AB"/>
    <w:rsid w:val="00F34C3B"/>
    <w:rsid w:val="00F35E6B"/>
    <w:rsid w:val="00F3610A"/>
    <w:rsid w:val="00F365C8"/>
    <w:rsid w:val="00F36EBB"/>
    <w:rsid w:val="00F379EE"/>
    <w:rsid w:val="00F37C37"/>
    <w:rsid w:val="00F37D63"/>
    <w:rsid w:val="00F37E23"/>
    <w:rsid w:val="00F41716"/>
    <w:rsid w:val="00F41B51"/>
    <w:rsid w:val="00F41F38"/>
    <w:rsid w:val="00F42F76"/>
    <w:rsid w:val="00F43466"/>
    <w:rsid w:val="00F438AF"/>
    <w:rsid w:val="00F44336"/>
    <w:rsid w:val="00F449C5"/>
    <w:rsid w:val="00F44EEA"/>
    <w:rsid w:val="00F46886"/>
    <w:rsid w:val="00F46B5A"/>
    <w:rsid w:val="00F479EE"/>
    <w:rsid w:val="00F515F7"/>
    <w:rsid w:val="00F51888"/>
    <w:rsid w:val="00F51A25"/>
    <w:rsid w:val="00F52A73"/>
    <w:rsid w:val="00F53067"/>
    <w:rsid w:val="00F53FEB"/>
    <w:rsid w:val="00F55231"/>
    <w:rsid w:val="00F55B63"/>
    <w:rsid w:val="00F561CF"/>
    <w:rsid w:val="00F5696C"/>
    <w:rsid w:val="00F577AE"/>
    <w:rsid w:val="00F579C1"/>
    <w:rsid w:val="00F57A08"/>
    <w:rsid w:val="00F57DC1"/>
    <w:rsid w:val="00F60056"/>
    <w:rsid w:val="00F620F7"/>
    <w:rsid w:val="00F62111"/>
    <w:rsid w:val="00F625B2"/>
    <w:rsid w:val="00F632FC"/>
    <w:rsid w:val="00F654C7"/>
    <w:rsid w:val="00F654CE"/>
    <w:rsid w:val="00F65607"/>
    <w:rsid w:val="00F65BE5"/>
    <w:rsid w:val="00F67239"/>
    <w:rsid w:val="00F67614"/>
    <w:rsid w:val="00F703AB"/>
    <w:rsid w:val="00F71A10"/>
    <w:rsid w:val="00F71EF5"/>
    <w:rsid w:val="00F72532"/>
    <w:rsid w:val="00F72E2D"/>
    <w:rsid w:val="00F72EEF"/>
    <w:rsid w:val="00F7362B"/>
    <w:rsid w:val="00F74D92"/>
    <w:rsid w:val="00F755EC"/>
    <w:rsid w:val="00F77EC0"/>
    <w:rsid w:val="00F809B1"/>
    <w:rsid w:val="00F818A5"/>
    <w:rsid w:val="00F83090"/>
    <w:rsid w:val="00F831D2"/>
    <w:rsid w:val="00F8401A"/>
    <w:rsid w:val="00F8581E"/>
    <w:rsid w:val="00F85BCD"/>
    <w:rsid w:val="00F86AB7"/>
    <w:rsid w:val="00F90AE3"/>
    <w:rsid w:val="00F91049"/>
    <w:rsid w:val="00F91A83"/>
    <w:rsid w:val="00F9204C"/>
    <w:rsid w:val="00F93739"/>
    <w:rsid w:val="00F93EB2"/>
    <w:rsid w:val="00F949F5"/>
    <w:rsid w:val="00F95AE9"/>
    <w:rsid w:val="00F963AA"/>
    <w:rsid w:val="00FA0519"/>
    <w:rsid w:val="00FA0DB5"/>
    <w:rsid w:val="00FA4747"/>
    <w:rsid w:val="00FA4CDB"/>
    <w:rsid w:val="00FA61B3"/>
    <w:rsid w:val="00FA6548"/>
    <w:rsid w:val="00FA7C21"/>
    <w:rsid w:val="00FB0DD2"/>
    <w:rsid w:val="00FB111A"/>
    <w:rsid w:val="00FB134A"/>
    <w:rsid w:val="00FB1ADD"/>
    <w:rsid w:val="00FB2B4A"/>
    <w:rsid w:val="00FB36AB"/>
    <w:rsid w:val="00FB58F0"/>
    <w:rsid w:val="00FB5A48"/>
    <w:rsid w:val="00FB5BBF"/>
    <w:rsid w:val="00FB617D"/>
    <w:rsid w:val="00FB7AE0"/>
    <w:rsid w:val="00FC01F4"/>
    <w:rsid w:val="00FC075B"/>
    <w:rsid w:val="00FC14F7"/>
    <w:rsid w:val="00FC1680"/>
    <w:rsid w:val="00FC2511"/>
    <w:rsid w:val="00FC2515"/>
    <w:rsid w:val="00FC30F2"/>
    <w:rsid w:val="00FC3370"/>
    <w:rsid w:val="00FC34C1"/>
    <w:rsid w:val="00FC448A"/>
    <w:rsid w:val="00FC4E44"/>
    <w:rsid w:val="00FC4FA9"/>
    <w:rsid w:val="00FC5B61"/>
    <w:rsid w:val="00FD1A20"/>
    <w:rsid w:val="00FD1F78"/>
    <w:rsid w:val="00FD210F"/>
    <w:rsid w:val="00FD2F23"/>
    <w:rsid w:val="00FD2FFD"/>
    <w:rsid w:val="00FD3789"/>
    <w:rsid w:val="00FD4304"/>
    <w:rsid w:val="00FD457C"/>
    <w:rsid w:val="00FD48F0"/>
    <w:rsid w:val="00FD4BF3"/>
    <w:rsid w:val="00FD6139"/>
    <w:rsid w:val="00FD70D1"/>
    <w:rsid w:val="00FE0A26"/>
    <w:rsid w:val="00FE1281"/>
    <w:rsid w:val="00FE27DA"/>
    <w:rsid w:val="00FE2BDE"/>
    <w:rsid w:val="00FE35AC"/>
    <w:rsid w:val="00FE419B"/>
    <w:rsid w:val="00FE4340"/>
    <w:rsid w:val="00FE475F"/>
    <w:rsid w:val="00FE49BC"/>
    <w:rsid w:val="00FE4A31"/>
    <w:rsid w:val="00FE4F0C"/>
    <w:rsid w:val="00FE6866"/>
    <w:rsid w:val="00FE6D03"/>
    <w:rsid w:val="00FE7786"/>
    <w:rsid w:val="00FF1DCB"/>
    <w:rsid w:val="00FF1EFA"/>
    <w:rsid w:val="00FF2D17"/>
    <w:rsid w:val="00FF2DCC"/>
    <w:rsid w:val="00FF2EF0"/>
    <w:rsid w:val="00FF34FB"/>
    <w:rsid w:val="00FF412F"/>
    <w:rsid w:val="00FF4C00"/>
    <w:rsid w:val="00FF534C"/>
    <w:rsid w:val="00FF5E66"/>
    <w:rsid w:val="00FF62E3"/>
    <w:rsid w:val="00FF69C1"/>
    <w:rsid w:val="00FF6C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ru v:ext="edit" colors="#1eaa82,#00bf7d,#00eb9e,#00edb9,#00ed5a,#00a23e,#83bb1c,#0dcf1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E1943"/>
    <w:rPr>
      <w:sz w:val="24"/>
      <w:szCs w:val="24"/>
    </w:rPr>
  </w:style>
  <w:style w:type="paragraph" w:styleId="Nagwek1">
    <w:name w:val="heading 1"/>
    <w:basedOn w:val="Normalny"/>
    <w:next w:val="Normalny"/>
    <w:link w:val="Nagwek1Znak"/>
    <w:qFormat/>
    <w:rsid w:val="007C0EC3"/>
    <w:pPr>
      <w:keepNext/>
      <w:keepLines/>
      <w:spacing w:before="480"/>
      <w:outlineLvl w:val="0"/>
    </w:pPr>
    <w:rPr>
      <w:rFonts w:asciiTheme="minorHAnsi" w:eastAsiaTheme="majorEastAsia" w:hAnsiTheme="minorHAnsi" w:cstheme="majorBidi"/>
      <w:b/>
      <w:bCs/>
      <w:sz w:val="28"/>
      <w:szCs w:val="28"/>
    </w:rPr>
  </w:style>
  <w:style w:type="paragraph" w:styleId="Nagwek3">
    <w:name w:val="heading 3"/>
    <w:basedOn w:val="Normalny"/>
    <w:next w:val="Normalny"/>
    <w:qFormat/>
    <w:rsid w:val="00561842"/>
    <w:pPr>
      <w:keepNext/>
      <w:spacing w:before="240" w:after="60"/>
      <w:outlineLvl w:val="2"/>
    </w:pPr>
    <w:rPr>
      <w:rFonts w:ascii="Arial" w:hAnsi="Arial" w:cs="Arial"/>
      <w:b/>
      <w:bCs/>
      <w:sz w:val="26"/>
      <w:szCs w:val="26"/>
    </w:rPr>
  </w:style>
  <w:style w:type="paragraph" w:styleId="Nagwek6">
    <w:name w:val="heading 6"/>
    <w:basedOn w:val="Normalny"/>
    <w:next w:val="Normalny"/>
    <w:qFormat/>
    <w:rsid w:val="002409BC"/>
    <w:pPr>
      <w:keepNext/>
      <w:jc w:val="center"/>
      <w:outlineLvl w:val="5"/>
    </w:pPr>
    <w:rPr>
      <w:rFonts w:ascii="Arial" w:hAnsi="Arial" w:cs="Arial"/>
      <w:b/>
      <w:iCs/>
      <w:color w:val="FFFFFF"/>
      <w:sz w:val="18"/>
    </w:rPr>
  </w:style>
  <w:style w:type="paragraph" w:styleId="Nagwek7">
    <w:name w:val="heading 7"/>
    <w:basedOn w:val="Normalny"/>
    <w:next w:val="Normalny"/>
    <w:qFormat/>
    <w:rsid w:val="002409BC"/>
    <w:pPr>
      <w:keepNext/>
      <w:jc w:val="center"/>
      <w:outlineLvl w:val="6"/>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431CF"/>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rsid w:val="004431CF"/>
    <w:rPr>
      <w:rFonts w:ascii="Calibri" w:eastAsia="Calibri" w:hAnsi="Calibri"/>
      <w:sz w:val="22"/>
      <w:szCs w:val="22"/>
      <w:lang w:val="pl-PL" w:eastAsia="en-US" w:bidi="ar-SA"/>
    </w:rPr>
  </w:style>
  <w:style w:type="paragraph" w:styleId="Stopka">
    <w:name w:val="footer"/>
    <w:basedOn w:val="Normalny"/>
    <w:link w:val="StopkaZnak"/>
    <w:uiPriority w:val="99"/>
    <w:rsid w:val="004431CF"/>
    <w:pPr>
      <w:tabs>
        <w:tab w:val="center" w:pos="4536"/>
        <w:tab w:val="right" w:pos="9072"/>
      </w:tabs>
    </w:pPr>
  </w:style>
  <w:style w:type="character" w:customStyle="1" w:styleId="StopkaZnak">
    <w:name w:val="Stopka Znak"/>
    <w:basedOn w:val="Domylnaczcionkaakapitu"/>
    <w:link w:val="Stopka"/>
    <w:uiPriority w:val="99"/>
    <w:rsid w:val="004431CF"/>
    <w:rPr>
      <w:sz w:val="24"/>
      <w:szCs w:val="24"/>
      <w:lang w:val="pl-PL" w:eastAsia="pl-PL" w:bidi="ar-SA"/>
    </w:rPr>
  </w:style>
  <w:style w:type="character" w:styleId="Hipercze">
    <w:name w:val="Hyperlink"/>
    <w:basedOn w:val="Domylnaczcionkaakapitu"/>
    <w:uiPriority w:val="99"/>
    <w:rsid w:val="004431CF"/>
    <w:rPr>
      <w:color w:val="0000FF"/>
      <w:u w:val="single"/>
    </w:rPr>
  </w:style>
  <w:style w:type="paragraph" w:styleId="Tekstprzypisudolnego">
    <w:name w:val="footnote text"/>
    <w:basedOn w:val="Normalny"/>
    <w:semiHidden/>
    <w:rsid w:val="00263627"/>
    <w:rPr>
      <w:sz w:val="20"/>
      <w:szCs w:val="20"/>
    </w:rPr>
  </w:style>
  <w:style w:type="character" w:styleId="Numerstrony">
    <w:name w:val="page number"/>
    <w:basedOn w:val="Domylnaczcionkaakapitu"/>
    <w:rsid w:val="00D23147"/>
  </w:style>
  <w:style w:type="paragraph" w:styleId="Tekstprzypisukocowego">
    <w:name w:val="endnote text"/>
    <w:basedOn w:val="Normalny"/>
    <w:semiHidden/>
    <w:rsid w:val="00B73BE7"/>
    <w:rPr>
      <w:sz w:val="20"/>
      <w:szCs w:val="20"/>
    </w:rPr>
  </w:style>
  <w:style w:type="character" w:styleId="Odwoanieprzypisukocowego">
    <w:name w:val="endnote reference"/>
    <w:basedOn w:val="Domylnaczcionkaakapitu"/>
    <w:semiHidden/>
    <w:rsid w:val="00B73BE7"/>
    <w:rPr>
      <w:vertAlign w:val="superscript"/>
    </w:rPr>
  </w:style>
  <w:style w:type="paragraph" w:styleId="Tekstdymka">
    <w:name w:val="Balloon Text"/>
    <w:basedOn w:val="Normalny"/>
    <w:semiHidden/>
    <w:rsid w:val="003A5BBF"/>
    <w:rPr>
      <w:rFonts w:ascii="Tahoma" w:hAnsi="Tahoma" w:cs="Tahoma"/>
      <w:sz w:val="16"/>
      <w:szCs w:val="16"/>
    </w:rPr>
  </w:style>
  <w:style w:type="character" w:styleId="Odwoaniedokomentarza">
    <w:name w:val="annotation reference"/>
    <w:basedOn w:val="Domylnaczcionkaakapitu"/>
    <w:semiHidden/>
    <w:rsid w:val="00E42FC5"/>
    <w:rPr>
      <w:sz w:val="16"/>
      <w:szCs w:val="16"/>
    </w:rPr>
  </w:style>
  <w:style w:type="paragraph" w:styleId="Tekstkomentarza">
    <w:name w:val="annotation text"/>
    <w:basedOn w:val="Normalny"/>
    <w:semiHidden/>
    <w:rsid w:val="00E42FC5"/>
    <w:rPr>
      <w:sz w:val="20"/>
      <w:szCs w:val="20"/>
    </w:rPr>
  </w:style>
  <w:style w:type="paragraph" w:styleId="Tematkomentarza">
    <w:name w:val="annotation subject"/>
    <w:basedOn w:val="Tekstkomentarza"/>
    <w:next w:val="Tekstkomentarza"/>
    <w:semiHidden/>
    <w:rsid w:val="00E42FC5"/>
    <w:rPr>
      <w:b/>
      <w:bCs/>
    </w:rPr>
  </w:style>
  <w:style w:type="table" w:styleId="Tabela-Siatka">
    <w:name w:val="Table Grid"/>
    <w:basedOn w:val="Standardowy"/>
    <w:rsid w:val="00350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E372C8"/>
    <w:pPr>
      <w:spacing w:line="276" w:lineRule="auto"/>
      <w:ind w:left="720"/>
      <w:contextualSpacing/>
    </w:pPr>
    <w:rPr>
      <w:rFonts w:ascii="Calibri" w:eastAsia="Calibri" w:hAnsi="Calibri"/>
      <w:sz w:val="22"/>
      <w:szCs w:val="22"/>
      <w:lang w:eastAsia="en-US"/>
    </w:rPr>
  </w:style>
  <w:style w:type="paragraph" w:customStyle="1" w:styleId="Default">
    <w:name w:val="Default"/>
    <w:rsid w:val="00E628EE"/>
    <w:pPr>
      <w:autoSpaceDE w:val="0"/>
      <w:autoSpaceDN w:val="0"/>
      <w:adjustRightInd w:val="0"/>
    </w:pPr>
    <w:rPr>
      <w:rFonts w:ascii="Calibri" w:hAnsi="Calibri" w:cs="Calibri"/>
      <w:color w:val="000000"/>
      <w:sz w:val="24"/>
      <w:szCs w:val="24"/>
    </w:rPr>
  </w:style>
  <w:style w:type="paragraph" w:styleId="NormalnyWeb">
    <w:name w:val="Normal (Web)"/>
    <w:basedOn w:val="Normalny"/>
    <w:uiPriority w:val="99"/>
    <w:unhideWhenUsed/>
    <w:rsid w:val="00BA7F96"/>
    <w:pPr>
      <w:spacing w:before="100" w:beforeAutospacing="1" w:after="100" w:afterAutospacing="1"/>
    </w:pPr>
  </w:style>
  <w:style w:type="character" w:styleId="Pogrubienie">
    <w:name w:val="Strong"/>
    <w:basedOn w:val="Domylnaczcionkaakapitu"/>
    <w:uiPriority w:val="22"/>
    <w:qFormat/>
    <w:rsid w:val="00BA7F96"/>
    <w:rPr>
      <w:b/>
      <w:bCs/>
    </w:rPr>
  </w:style>
  <w:style w:type="table" w:styleId="Tabela-Lista1">
    <w:name w:val="Table List 1"/>
    <w:basedOn w:val="Standardowy"/>
    <w:rsid w:val="003A743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gwek1Znak">
    <w:name w:val="Nagłówek 1 Znak"/>
    <w:basedOn w:val="Domylnaczcionkaakapitu"/>
    <w:link w:val="Nagwek1"/>
    <w:rsid w:val="007C0EC3"/>
    <w:rPr>
      <w:rFonts w:asciiTheme="minorHAnsi" w:eastAsiaTheme="majorEastAsia" w:hAnsiTheme="minorHAnsi" w:cstheme="majorBidi"/>
      <w:b/>
      <w:bCs/>
      <w:sz w:val="28"/>
      <w:szCs w:val="28"/>
    </w:rPr>
  </w:style>
  <w:style w:type="paragraph" w:styleId="Nagwekspisutreci">
    <w:name w:val="TOC Heading"/>
    <w:basedOn w:val="Nagwek1"/>
    <w:next w:val="Normalny"/>
    <w:uiPriority w:val="39"/>
    <w:semiHidden/>
    <w:unhideWhenUsed/>
    <w:qFormat/>
    <w:rsid w:val="00636E50"/>
    <w:pPr>
      <w:spacing w:line="276" w:lineRule="auto"/>
      <w:outlineLvl w:val="9"/>
    </w:pPr>
    <w:rPr>
      <w:lang w:eastAsia="en-US"/>
    </w:rPr>
  </w:style>
  <w:style w:type="paragraph" w:styleId="Spistreci1">
    <w:name w:val="toc 1"/>
    <w:basedOn w:val="Normalny"/>
    <w:next w:val="Normalny"/>
    <w:autoRedefine/>
    <w:uiPriority w:val="39"/>
    <w:rsid w:val="00636E50"/>
    <w:pPr>
      <w:spacing w:after="100"/>
    </w:pPr>
  </w:style>
  <w:style w:type="paragraph" w:styleId="Podtytu">
    <w:name w:val="Subtitle"/>
    <w:basedOn w:val="Normalny"/>
    <w:next w:val="Normalny"/>
    <w:link w:val="PodtytuZnak"/>
    <w:qFormat/>
    <w:rsid w:val="00636E50"/>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rsid w:val="00636E50"/>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qFormat/>
    <w:rsid w:val="00636E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636E50"/>
    <w:rPr>
      <w:rFonts w:asciiTheme="majorHAnsi" w:eastAsiaTheme="majorEastAsia" w:hAnsiTheme="majorHAnsi" w:cstheme="majorBidi"/>
      <w:color w:val="17365D" w:themeColor="text2" w:themeShade="BF"/>
      <w:spacing w:val="5"/>
      <w:kern w:val="28"/>
      <w:sz w:val="52"/>
      <w:szCs w:val="52"/>
    </w:rPr>
  </w:style>
  <w:style w:type="character" w:styleId="Uwydatnienie">
    <w:name w:val="Emphasis"/>
    <w:basedOn w:val="Domylnaczcionkaakapitu"/>
    <w:qFormat/>
    <w:rsid w:val="00636E50"/>
    <w:rPr>
      <w:i/>
      <w:iCs/>
    </w:rPr>
  </w:style>
  <w:style w:type="paragraph" w:styleId="Bezodstpw">
    <w:name w:val="No Spacing"/>
    <w:uiPriority w:val="1"/>
    <w:qFormat/>
    <w:rsid w:val="00636E50"/>
    <w:rPr>
      <w:sz w:val="24"/>
      <w:szCs w:val="24"/>
    </w:rPr>
  </w:style>
  <w:style w:type="character" w:styleId="Tytuksiki">
    <w:name w:val="Book Title"/>
    <w:basedOn w:val="Domylnaczcionkaakapitu"/>
    <w:uiPriority w:val="33"/>
    <w:qFormat/>
    <w:rsid w:val="00636E50"/>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E1943"/>
    <w:rPr>
      <w:sz w:val="24"/>
      <w:szCs w:val="24"/>
    </w:rPr>
  </w:style>
  <w:style w:type="paragraph" w:styleId="Nagwek1">
    <w:name w:val="heading 1"/>
    <w:basedOn w:val="Normalny"/>
    <w:next w:val="Normalny"/>
    <w:link w:val="Nagwek1Znak"/>
    <w:qFormat/>
    <w:rsid w:val="00636E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qFormat/>
    <w:rsid w:val="00561842"/>
    <w:pPr>
      <w:keepNext/>
      <w:spacing w:before="240" w:after="60"/>
      <w:outlineLvl w:val="2"/>
    </w:pPr>
    <w:rPr>
      <w:rFonts w:ascii="Arial" w:hAnsi="Arial" w:cs="Arial"/>
      <w:b/>
      <w:bCs/>
      <w:sz w:val="26"/>
      <w:szCs w:val="26"/>
    </w:rPr>
  </w:style>
  <w:style w:type="paragraph" w:styleId="Nagwek6">
    <w:name w:val="heading 6"/>
    <w:basedOn w:val="Normalny"/>
    <w:next w:val="Normalny"/>
    <w:qFormat/>
    <w:rsid w:val="002409BC"/>
    <w:pPr>
      <w:keepNext/>
      <w:jc w:val="center"/>
      <w:outlineLvl w:val="5"/>
    </w:pPr>
    <w:rPr>
      <w:rFonts w:ascii="Arial" w:hAnsi="Arial" w:cs="Arial"/>
      <w:b/>
      <w:iCs/>
      <w:color w:val="FFFFFF"/>
      <w:sz w:val="18"/>
    </w:rPr>
  </w:style>
  <w:style w:type="paragraph" w:styleId="Nagwek7">
    <w:name w:val="heading 7"/>
    <w:basedOn w:val="Normalny"/>
    <w:next w:val="Normalny"/>
    <w:qFormat/>
    <w:rsid w:val="002409BC"/>
    <w:pPr>
      <w:keepNext/>
      <w:jc w:val="center"/>
      <w:outlineLvl w:val="6"/>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431CF"/>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rsid w:val="004431CF"/>
    <w:rPr>
      <w:rFonts w:ascii="Calibri" w:eastAsia="Calibri" w:hAnsi="Calibri"/>
      <w:sz w:val="22"/>
      <w:szCs w:val="22"/>
      <w:lang w:val="pl-PL" w:eastAsia="en-US" w:bidi="ar-SA"/>
    </w:rPr>
  </w:style>
  <w:style w:type="paragraph" w:styleId="Stopka">
    <w:name w:val="footer"/>
    <w:basedOn w:val="Normalny"/>
    <w:link w:val="StopkaZnak"/>
    <w:uiPriority w:val="99"/>
    <w:rsid w:val="004431CF"/>
    <w:pPr>
      <w:tabs>
        <w:tab w:val="center" w:pos="4536"/>
        <w:tab w:val="right" w:pos="9072"/>
      </w:tabs>
    </w:pPr>
  </w:style>
  <w:style w:type="character" w:customStyle="1" w:styleId="StopkaZnak">
    <w:name w:val="Stopka Znak"/>
    <w:basedOn w:val="Domylnaczcionkaakapitu"/>
    <w:link w:val="Stopka"/>
    <w:uiPriority w:val="99"/>
    <w:rsid w:val="004431CF"/>
    <w:rPr>
      <w:sz w:val="24"/>
      <w:szCs w:val="24"/>
      <w:lang w:val="pl-PL" w:eastAsia="pl-PL" w:bidi="ar-SA"/>
    </w:rPr>
  </w:style>
  <w:style w:type="character" w:styleId="Hipercze">
    <w:name w:val="Hyperlink"/>
    <w:basedOn w:val="Domylnaczcionkaakapitu"/>
    <w:uiPriority w:val="99"/>
    <w:rsid w:val="004431CF"/>
    <w:rPr>
      <w:color w:val="0000FF"/>
      <w:u w:val="single"/>
    </w:rPr>
  </w:style>
  <w:style w:type="paragraph" w:styleId="Tekstprzypisudolnego">
    <w:name w:val="footnote text"/>
    <w:basedOn w:val="Normalny"/>
    <w:semiHidden/>
    <w:rsid w:val="00263627"/>
    <w:rPr>
      <w:sz w:val="20"/>
      <w:szCs w:val="20"/>
    </w:rPr>
  </w:style>
  <w:style w:type="character" w:styleId="Numerstrony">
    <w:name w:val="page number"/>
    <w:basedOn w:val="Domylnaczcionkaakapitu"/>
    <w:rsid w:val="00D23147"/>
  </w:style>
  <w:style w:type="paragraph" w:styleId="Tekstprzypisukocowego">
    <w:name w:val="endnote text"/>
    <w:basedOn w:val="Normalny"/>
    <w:semiHidden/>
    <w:rsid w:val="00B73BE7"/>
    <w:rPr>
      <w:sz w:val="20"/>
      <w:szCs w:val="20"/>
    </w:rPr>
  </w:style>
  <w:style w:type="character" w:styleId="Odwoanieprzypisukocowego">
    <w:name w:val="endnote reference"/>
    <w:basedOn w:val="Domylnaczcionkaakapitu"/>
    <w:semiHidden/>
    <w:rsid w:val="00B73BE7"/>
    <w:rPr>
      <w:vertAlign w:val="superscript"/>
    </w:rPr>
  </w:style>
  <w:style w:type="paragraph" w:styleId="Tekstdymka">
    <w:name w:val="Balloon Text"/>
    <w:basedOn w:val="Normalny"/>
    <w:semiHidden/>
    <w:rsid w:val="003A5BBF"/>
    <w:rPr>
      <w:rFonts w:ascii="Tahoma" w:hAnsi="Tahoma" w:cs="Tahoma"/>
      <w:sz w:val="16"/>
      <w:szCs w:val="16"/>
    </w:rPr>
  </w:style>
  <w:style w:type="character" w:styleId="Odwoaniedokomentarza">
    <w:name w:val="annotation reference"/>
    <w:basedOn w:val="Domylnaczcionkaakapitu"/>
    <w:semiHidden/>
    <w:rsid w:val="00E42FC5"/>
    <w:rPr>
      <w:sz w:val="16"/>
      <w:szCs w:val="16"/>
    </w:rPr>
  </w:style>
  <w:style w:type="paragraph" w:styleId="Tekstkomentarza">
    <w:name w:val="annotation text"/>
    <w:basedOn w:val="Normalny"/>
    <w:semiHidden/>
    <w:rsid w:val="00E42FC5"/>
    <w:rPr>
      <w:sz w:val="20"/>
      <w:szCs w:val="20"/>
    </w:rPr>
  </w:style>
  <w:style w:type="paragraph" w:styleId="Tematkomentarza">
    <w:name w:val="annotation subject"/>
    <w:basedOn w:val="Tekstkomentarza"/>
    <w:next w:val="Tekstkomentarza"/>
    <w:semiHidden/>
    <w:rsid w:val="00E42FC5"/>
    <w:rPr>
      <w:b/>
      <w:bCs/>
    </w:rPr>
  </w:style>
  <w:style w:type="table" w:styleId="Tabela-Siatka">
    <w:name w:val="Table Grid"/>
    <w:basedOn w:val="Standardowy"/>
    <w:rsid w:val="00350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E372C8"/>
    <w:pPr>
      <w:spacing w:line="276" w:lineRule="auto"/>
      <w:ind w:left="720"/>
      <w:contextualSpacing/>
    </w:pPr>
    <w:rPr>
      <w:rFonts w:ascii="Calibri" w:eastAsia="Calibri" w:hAnsi="Calibri"/>
      <w:sz w:val="22"/>
      <w:szCs w:val="22"/>
      <w:lang w:eastAsia="en-US"/>
    </w:rPr>
  </w:style>
  <w:style w:type="paragraph" w:customStyle="1" w:styleId="Default">
    <w:name w:val="Default"/>
    <w:rsid w:val="00E628EE"/>
    <w:pPr>
      <w:autoSpaceDE w:val="0"/>
      <w:autoSpaceDN w:val="0"/>
      <w:adjustRightInd w:val="0"/>
    </w:pPr>
    <w:rPr>
      <w:rFonts w:ascii="Calibri" w:hAnsi="Calibri" w:cs="Calibri"/>
      <w:color w:val="000000"/>
      <w:sz w:val="24"/>
      <w:szCs w:val="24"/>
    </w:rPr>
  </w:style>
  <w:style w:type="paragraph" w:styleId="NormalnyWeb">
    <w:name w:val="Normal (Web)"/>
    <w:basedOn w:val="Normalny"/>
    <w:uiPriority w:val="99"/>
    <w:unhideWhenUsed/>
    <w:rsid w:val="00BA7F96"/>
    <w:pPr>
      <w:spacing w:before="100" w:beforeAutospacing="1" w:after="100" w:afterAutospacing="1"/>
    </w:pPr>
  </w:style>
  <w:style w:type="character" w:styleId="Pogrubienie">
    <w:name w:val="Strong"/>
    <w:basedOn w:val="Domylnaczcionkaakapitu"/>
    <w:uiPriority w:val="22"/>
    <w:qFormat/>
    <w:rsid w:val="00BA7F96"/>
    <w:rPr>
      <w:b/>
      <w:bCs/>
    </w:rPr>
  </w:style>
  <w:style w:type="table" w:styleId="Tabela-Lista1">
    <w:name w:val="Table List 1"/>
    <w:basedOn w:val="Standardowy"/>
    <w:rsid w:val="003A743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gwek1Znak">
    <w:name w:val="Nagłówek 1 Znak"/>
    <w:basedOn w:val="Domylnaczcionkaakapitu"/>
    <w:link w:val="Nagwek1"/>
    <w:rsid w:val="00636E50"/>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636E50"/>
    <w:pPr>
      <w:spacing w:line="276" w:lineRule="auto"/>
      <w:outlineLvl w:val="9"/>
    </w:pPr>
    <w:rPr>
      <w:lang w:eastAsia="en-US"/>
    </w:rPr>
  </w:style>
  <w:style w:type="paragraph" w:styleId="Spistreci1">
    <w:name w:val="toc 1"/>
    <w:basedOn w:val="Normalny"/>
    <w:next w:val="Normalny"/>
    <w:autoRedefine/>
    <w:uiPriority w:val="39"/>
    <w:rsid w:val="00636E50"/>
    <w:pPr>
      <w:spacing w:after="100"/>
    </w:pPr>
  </w:style>
  <w:style w:type="paragraph" w:styleId="Podtytu">
    <w:name w:val="Subtitle"/>
    <w:basedOn w:val="Normalny"/>
    <w:next w:val="Normalny"/>
    <w:link w:val="PodtytuZnak"/>
    <w:qFormat/>
    <w:rsid w:val="00636E50"/>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rsid w:val="00636E50"/>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qFormat/>
    <w:rsid w:val="00636E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636E50"/>
    <w:rPr>
      <w:rFonts w:asciiTheme="majorHAnsi" w:eastAsiaTheme="majorEastAsia" w:hAnsiTheme="majorHAnsi" w:cstheme="majorBidi"/>
      <w:color w:val="17365D" w:themeColor="text2" w:themeShade="BF"/>
      <w:spacing w:val="5"/>
      <w:kern w:val="28"/>
      <w:sz w:val="52"/>
      <w:szCs w:val="52"/>
    </w:rPr>
  </w:style>
  <w:style w:type="character" w:styleId="Uwydatnienie">
    <w:name w:val="Emphasis"/>
    <w:basedOn w:val="Domylnaczcionkaakapitu"/>
    <w:qFormat/>
    <w:rsid w:val="00636E50"/>
    <w:rPr>
      <w:i/>
      <w:iCs/>
    </w:rPr>
  </w:style>
  <w:style w:type="paragraph" w:styleId="Bezodstpw">
    <w:name w:val="No Spacing"/>
    <w:uiPriority w:val="1"/>
    <w:qFormat/>
    <w:rsid w:val="00636E50"/>
    <w:rPr>
      <w:sz w:val="24"/>
      <w:szCs w:val="24"/>
    </w:rPr>
  </w:style>
  <w:style w:type="character" w:styleId="Tytuksiki">
    <w:name w:val="Book Title"/>
    <w:basedOn w:val="Domylnaczcionkaakapitu"/>
    <w:uiPriority w:val="33"/>
    <w:qFormat/>
    <w:rsid w:val="00636E50"/>
    <w:rPr>
      <w:b/>
      <w:bCs/>
      <w:smallCaps/>
      <w:spacing w:val="5"/>
    </w:rPr>
  </w:style>
</w:styles>
</file>

<file path=word/webSettings.xml><?xml version="1.0" encoding="utf-8"?>
<w:webSettings xmlns:r="http://schemas.openxmlformats.org/officeDocument/2006/relationships" xmlns:w="http://schemas.openxmlformats.org/wordprocessingml/2006/main">
  <w:divs>
    <w:div w:id="2360964">
      <w:bodyDiv w:val="1"/>
      <w:marLeft w:val="0"/>
      <w:marRight w:val="0"/>
      <w:marTop w:val="0"/>
      <w:marBottom w:val="0"/>
      <w:divBdr>
        <w:top w:val="none" w:sz="0" w:space="0" w:color="auto"/>
        <w:left w:val="none" w:sz="0" w:space="0" w:color="auto"/>
        <w:bottom w:val="none" w:sz="0" w:space="0" w:color="auto"/>
        <w:right w:val="none" w:sz="0" w:space="0" w:color="auto"/>
      </w:divBdr>
    </w:div>
    <w:div w:id="4141630">
      <w:bodyDiv w:val="1"/>
      <w:marLeft w:val="0"/>
      <w:marRight w:val="0"/>
      <w:marTop w:val="0"/>
      <w:marBottom w:val="0"/>
      <w:divBdr>
        <w:top w:val="none" w:sz="0" w:space="0" w:color="auto"/>
        <w:left w:val="none" w:sz="0" w:space="0" w:color="auto"/>
        <w:bottom w:val="none" w:sz="0" w:space="0" w:color="auto"/>
        <w:right w:val="none" w:sz="0" w:space="0" w:color="auto"/>
      </w:divBdr>
    </w:div>
    <w:div w:id="14427477">
      <w:bodyDiv w:val="1"/>
      <w:marLeft w:val="0"/>
      <w:marRight w:val="0"/>
      <w:marTop w:val="0"/>
      <w:marBottom w:val="0"/>
      <w:divBdr>
        <w:top w:val="none" w:sz="0" w:space="0" w:color="auto"/>
        <w:left w:val="none" w:sz="0" w:space="0" w:color="auto"/>
        <w:bottom w:val="none" w:sz="0" w:space="0" w:color="auto"/>
        <w:right w:val="none" w:sz="0" w:space="0" w:color="auto"/>
      </w:divBdr>
    </w:div>
    <w:div w:id="22094655">
      <w:bodyDiv w:val="1"/>
      <w:marLeft w:val="0"/>
      <w:marRight w:val="0"/>
      <w:marTop w:val="0"/>
      <w:marBottom w:val="0"/>
      <w:divBdr>
        <w:top w:val="none" w:sz="0" w:space="0" w:color="auto"/>
        <w:left w:val="none" w:sz="0" w:space="0" w:color="auto"/>
        <w:bottom w:val="none" w:sz="0" w:space="0" w:color="auto"/>
        <w:right w:val="none" w:sz="0" w:space="0" w:color="auto"/>
      </w:divBdr>
    </w:div>
    <w:div w:id="25982794">
      <w:bodyDiv w:val="1"/>
      <w:marLeft w:val="0"/>
      <w:marRight w:val="0"/>
      <w:marTop w:val="0"/>
      <w:marBottom w:val="0"/>
      <w:divBdr>
        <w:top w:val="none" w:sz="0" w:space="0" w:color="auto"/>
        <w:left w:val="none" w:sz="0" w:space="0" w:color="auto"/>
        <w:bottom w:val="none" w:sz="0" w:space="0" w:color="auto"/>
        <w:right w:val="none" w:sz="0" w:space="0" w:color="auto"/>
      </w:divBdr>
    </w:div>
    <w:div w:id="36392898">
      <w:bodyDiv w:val="1"/>
      <w:marLeft w:val="0"/>
      <w:marRight w:val="0"/>
      <w:marTop w:val="0"/>
      <w:marBottom w:val="0"/>
      <w:divBdr>
        <w:top w:val="none" w:sz="0" w:space="0" w:color="auto"/>
        <w:left w:val="none" w:sz="0" w:space="0" w:color="auto"/>
        <w:bottom w:val="none" w:sz="0" w:space="0" w:color="auto"/>
        <w:right w:val="none" w:sz="0" w:space="0" w:color="auto"/>
      </w:divBdr>
    </w:div>
    <w:div w:id="52388561">
      <w:bodyDiv w:val="1"/>
      <w:marLeft w:val="0"/>
      <w:marRight w:val="0"/>
      <w:marTop w:val="0"/>
      <w:marBottom w:val="0"/>
      <w:divBdr>
        <w:top w:val="none" w:sz="0" w:space="0" w:color="auto"/>
        <w:left w:val="none" w:sz="0" w:space="0" w:color="auto"/>
        <w:bottom w:val="none" w:sz="0" w:space="0" w:color="auto"/>
        <w:right w:val="none" w:sz="0" w:space="0" w:color="auto"/>
      </w:divBdr>
    </w:div>
    <w:div w:id="53741464">
      <w:bodyDiv w:val="1"/>
      <w:marLeft w:val="0"/>
      <w:marRight w:val="0"/>
      <w:marTop w:val="0"/>
      <w:marBottom w:val="0"/>
      <w:divBdr>
        <w:top w:val="none" w:sz="0" w:space="0" w:color="auto"/>
        <w:left w:val="none" w:sz="0" w:space="0" w:color="auto"/>
        <w:bottom w:val="none" w:sz="0" w:space="0" w:color="auto"/>
        <w:right w:val="none" w:sz="0" w:space="0" w:color="auto"/>
      </w:divBdr>
    </w:div>
    <w:div w:id="65079682">
      <w:bodyDiv w:val="1"/>
      <w:marLeft w:val="0"/>
      <w:marRight w:val="0"/>
      <w:marTop w:val="0"/>
      <w:marBottom w:val="0"/>
      <w:divBdr>
        <w:top w:val="none" w:sz="0" w:space="0" w:color="auto"/>
        <w:left w:val="none" w:sz="0" w:space="0" w:color="auto"/>
        <w:bottom w:val="none" w:sz="0" w:space="0" w:color="auto"/>
        <w:right w:val="none" w:sz="0" w:space="0" w:color="auto"/>
      </w:divBdr>
    </w:div>
    <w:div w:id="84956441">
      <w:bodyDiv w:val="1"/>
      <w:marLeft w:val="0"/>
      <w:marRight w:val="0"/>
      <w:marTop w:val="0"/>
      <w:marBottom w:val="0"/>
      <w:divBdr>
        <w:top w:val="none" w:sz="0" w:space="0" w:color="auto"/>
        <w:left w:val="none" w:sz="0" w:space="0" w:color="auto"/>
        <w:bottom w:val="none" w:sz="0" w:space="0" w:color="auto"/>
        <w:right w:val="none" w:sz="0" w:space="0" w:color="auto"/>
      </w:divBdr>
    </w:div>
    <w:div w:id="111946245">
      <w:bodyDiv w:val="1"/>
      <w:marLeft w:val="0"/>
      <w:marRight w:val="0"/>
      <w:marTop w:val="0"/>
      <w:marBottom w:val="0"/>
      <w:divBdr>
        <w:top w:val="none" w:sz="0" w:space="0" w:color="auto"/>
        <w:left w:val="none" w:sz="0" w:space="0" w:color="auto"/>
        <w:bottom w:val="none" w:sz="0" w:space="0" w:color="auto"/>
        <w:right w:val="none" w:sz="0" w:space="0" w:color="auto"/>
      </w:divBdr>
    </w:div>
    <w:div w:id="130634603">
      <w:bodyDiv w:val="1"/>
      <w:marLeft w:val="0"/>
      <w:marRight w:val="0"/>
      <w:marTop w:val="0"/>
      <w:marBottom w:val="0"/>
      <w:divBdr>
        <w:top w:val="none" w:sz="0" w:space="0" w:color="auto"/>
        <w:left w:val="none" w:sz="0" w:space="0" w:color="auto"/>
        <w:bottom w:val="none" w:sz="0" w:space="0" w:color="auto"/>
        <w:right w:val="none" w:sz="0" w:space="0" w:color="auto"/>
      </w:divBdr>
    </w:div>
    <w:div w:id="134759042">
      <w:bodyDiv w:val="1"/>
      <w:marLeft w:val="0"/>
      <w:marRight w:val="0"/>
      <w:marTop w:val="0"/>
      <w:marBottom w:val="0"/>
      <w:divBdr>
        <w:top w:val="none" w:sz="0" w:space="0" w:color="auto"/>
        <w:left w:val="none" w:sz="0" w:space="0" w:color="auto"/>
        <w:bottom w:val="none" w:sz="0" w:space="0" w:color="auto"/>
        <w:right w:val="none" w:sz="0" w:space="0" w:color="auto"/>
      </w:divBdr>
    </w:div>
    <w:div w:id="167138960">
      <w:bodyDiv w:val="1"/>
      <w:marLeft w:val="0"/>
      <w:marRight w:val="0"/>
      <w:marTop w:val="0"/>
      <w:marBottom w:val="0"/>
      <w:divBdr>
        <w:top w:val="none" w:sz="0" w:space="0" w:color="auto"/>
        <w:left w:val="none" w:sz="0" w:space="0" w:color="auto"/>
        <w:bottom w:val="none" w:sz="0" w:space="0" w:color="auto"/>
        <w:right w:val="none" w:sz="0" w:space="0" w:color="auto"/>
      </w:divBdr>
    </w:div>
    <w:div w:id="167914946">
      <w:bodyDiv w:val="1"/>
      <w:marLeft w:val="0"/>
      <w:marRight w:val="0"/>
      <w:marTop w:val="0"/>
      <w:marBottom w:val="0"/>
      <w:divBdr>
        <w:top w:val="none" w:sz="0" w:space="0" w:color="auto"/>
        <w:left w:val="none" w:sz="0" w:space="0" w:color="auto"/>
        <w:bottom w:val="none" w:sz="0" w:space="0" w:color="auto"/>
        <w:right w:val="none" w:sz="0" w:space="0" w:color="auto"/>
      </w:divBdr>
    </w:div>
    <w:div w:id="174001305">
      <w:bodyDiv w:val="1"/>
      <w:marLeft w:val="0"/>
      <w:marRight w:val="0"/>
      <w:marTop w:val="0"/>
      <w:marBottom w:val="0"/>
      <w:divBdr>
        <w:top w:val="none" w:sz="0" w:space="0" w:color="auto"/>
        <w:left w:val="none" w:sz="0" w:space="0" w:color="auto"/>
        <w:bottom w:val="none" w:sz="0" w:space="0" w:color="auto"/>
        <w:right w:val="none" w:sz="0" w:space="0" w:color="auto"/>
      </w:divBdr>
    </w:div>
    <w:div w:id="186873441">
      <w:bodyDiv w:val="1"/>
      <w:marLeft w:val="0"/>
      <w:marRight w:val="0"/>
      <w:marTop w:val="0"/>
      <w:marBottom w:val="0"/>
      <w:divBdr>
        <w:top w:val="none" w:sz="0" w:space="0" w:color="auto"/>
        <w:left w:val="none" w:sz="0" w:space="0" w:color="auto"/>
        <w:bottom w:val="none" w:sz="0" w:space="0" w:color="auto"/>
        <w:right w:val="none" w:sz="0" w:space="0" w:color="auto"/>
      </w:divBdr>
    </w:div>
    <w:div w:id="194119520">
      <w:bodyDiv w:val="1"/>
      <w:marLeft w:val="0"/>
      <w:marRight w:val="0"/>
      <w:marTop w:val="0"/>
      <w:marBottom w:val="0"/>
      <w:divBdr>
        <w:top w:val="none" w:sz="0" w:space="0" w:color="auto"/>
        <w:left w:val="none" w:sz="0" w:space="0" w:color="auto"/>
        <w:bottom w:val="none" w:sz="0" w:space="0" w:color="auto"/>
        <w:right w:val="none" w:sz="0" w:space="0" w:color="auto"/>
      </w:divBdr>
    </w:div>
    <w:div w:id="199782542">
      <w:bodyDiv w:val="1"/>
      <w:marLeft w:val="0"/>
      <w:marRight w:val="0"/>
      <w:marTop w:val="0"/>
      <w:marBottom w:val="0"/>
      <w:divBdr>
        <w:top w:val="none" w:sz="0" w:space="0" w:color="auto"/>
        <w:left w:val="none" w:sz="0" w:space="0" w:color="auto"/>
        <w:bottom w:val="none" w:sz="0" w:space="0" w:color="auto"/>
        <w:right w:val="none" w:sz="0" w:space="0" w:color="auto"/>
      </w:divBdr>
    </w:div>
    <w:div w:id="201942659">
      <w:bodyDiv w:val="1"/>
      <w:marLeft w:val="0"/>
      <w:marRight w:val="0"/>
      <w:marTop w:val="0"/>
      <w:marBottom w:val="0"/>
      <w:divBdr>
        <w:top w:val="none" w:sz="0" w:space="0" w:color="auto"/>
        <w:left w:val="none" w:sz="0" w:space="0" w:color="auto"/>
        <w:bottom w:val="none" w:sz="0" w:space="0" w:color="auto"/>
        <w:right w:val="none" w:sz="0" w:space="0" w:color="auto"/>
      </w:divBdr>
    </w:div>
    <w:div w:id="210655612">
      <w:bodyDiv w:val="1"/>
      <w:marLeft w:val="0"/>
      <w:marRight w:val="0"/>
      <w:marTop w:val="0"/>
      <w:marBottom w:val="0"/>
      <w:divBdr>
        <w:top w:val="none" w:sz="0" w:space="0" w:color="auto"/>
        <w:left w:val="none" w:sz="0" w:space="0" w:color="auto"/>
        <w:bottom w:val="none" w:sz="0" w:space="0" w:color="auto"/>
        <w:right w:val="none" w:sz="0" w:space="0" w:color="auto"/>
      </w:divBdr>
    </w:div>
    <w:div w:id="220140076">
      <w:bodyDiv w:val="1"/>
      <w:marLeft w:val="0"/>
      <w:marRight w:val="0"/>
      <w:marTop w:val="0"/>
      <w:marBottom w:val="0"/>
      <w:divBdr>
        <w:top w:val="none" w:sz="0" w:space="0" w:color="auto"/>
        <w:left w:val="none" w:sz="0" w:space="0" w:color="auto"/>
        <w:bottom w:val="none" w:sz="0" w:space="0" w:color="auto"/>
        <w:right w:val="none" w:sz="0" w:space="0" w:color="auto"/>
      </w:divBdr>
    </w:div>
    <w:div w:id="242960665">
      <w:bodyDiv w:val="1"/>
      <w:marLeft w:val="0"/>
      <w:marRight w:val="0"/>
      <w:marTop w:val="0"/>
      <w:marBottom w:val="0"/>
      <w:divBdr>
        <w:top w:val="none" w:sz="0" w:space="0" w:color="auto"/>
        <w:left w:val="none" w:sz="0" w:space="0" w:color="auto"/>
        <w:bottom w:val="none" w:sz="0" w:space="0" w:color="auto"/>
        <w:right w:val="none" w:sz="0" w:space="0" w:color="auto"/>
      </w:divBdr>
    </w:div>
    <w:div w:id="248848687">
      <w:bodyDiv w:val="1"/>
      <w:marLeft w:val="0"/>
      <w:marRight w:val="0"/>
      <w:marTop w:val="0"/>
      <w:marBottom w:val="0"/>
      <w:divBdr>
        <w:top w:val="none" w:sz="0" w:space="0" w:color="auto"/>
        <w:left w:val="none" w:sz="0" w:space="0" w:color="auto"/>
        <w:bottom w:val="none" w:sz="0" w:space="0" w:color="auto"/>
        <w:right w:val="none" w:sz="0" w:space="0" w:color="auto"/>
      </w:divBdr>
    </w:div>
    <w:div w:id="254750149">
      <w:bodyDiv w:val="1"/>
      <w:marLeft w:val="0"/>
      <w:marRight w:val="0"/>
      <w:marTop w:val="0"/>
      <w:marBottom w:val="0"/>
      <w:divBdr>
        <w:top w:val="none" w:sz="0" w:space="0" w:color="auto"/>
        <w:left w:val="none" w:sz="0" w:space="0" w:color="auto"/>
        <w:bottom w:val="none" w:sz="0" w:space="0" w:color="auto"/>
        <w:right w:val="none" w:sz="0" w:space="0" w:color="auto"/>
      </w:divBdr>
    </w:div>
    <w:div w:id="254896751">
      <w:bodyDiv w:val="1"/>
      <w:marLeft w:val="0"/>
      <w:marRight w:val="0"/>
      <w:marTop w:val="0"/>
      <w:marBottom w:val="0"/>
      <w:divBdr>
        <w:top w:val="none" w:sz="0" w:space="0" w:color="auto"/>
        <w:left w:val="none" w:sz="0" w:space="0" w:color="auto"/>
        <w:bottom w:val="none" w:sz="0" w:space="0" w:color="auto"/>
        <w:right w:val="none" w:sz="0" w:space="0" w:color="auto"/>
      </w:divBdr>
    </w:div>
    <w:div w:id="282538640">
      <w:bodyDiv w:val="1"/>
      <w:marLeft w:val="0"/>
      <w:marRight w:val="0"/>
      <w:marTop w:val="0"/>
      <w:marBottom w:val="0"/>
      <w:divBdr>
        <w:top w:val="none" w:sz="0" w:space="0" w:color="auto"/>
        <w:left w:val="none" w:sz="0" w:space="0" w:color="auto"/>
        <w:bottom w:val="none" w:sz="0" w:space="0" w:color="auto"/>
        <w:right w:val="none" w:sz="0" w:space="0" w:color="auto"/>
      </w:divBdr>
    </w:div>
    <w:div w:id="296298294">
      <w:bodyDiv w:val="1"/>
      <w:marLeft w:val="0"/>
      <w:marRight w:val="0"/>
      <w:marTop w:val="0"/>
      <w:marBottom w:val="0"/>
      <w:divBdr>
        <w:top w:val="none" w:sz="0" w:space="0" w:color="auto"/>
        <w:left w:val="none" w:sz="0" w:space="0" w:color="auto"/>
        <w:bottom w:val="none" w:sz="0" w:space="0" w:color="auto"/>
        <w:right w:val="none" w:sz="0" w:space="0" w:color="auto"/>
      </w:divBdr>
    </w:div>
    <w:div w:id="298072880">
      <w:bodyDiv w:val="1"/>
      <w:marLeft w:val="0"/>
      <w:marRight w:val="0"/>
      <w:marTop w:val="0"/>
      <w:marBottom w:val="0"/>
      <w:divBdr>
        <w:top w:val="none" w:sz="0" w:space="0" w:color="auto"/>
        <w:left w:val="none" w:sz="0" w:space="0" w:color="auto"/>
        <w:bottom w:val="none" w:sz="0" w:space="0" w:color="auto"/>
        <w:right w:val="none" w:sz="0" w:space="0" w:color="auto"/>
      </w:divBdr>
    </w:div>
    <w:div w:id="326638027">
      <w:bodyDiv w:val="1"/>
      <w:marLeft w:val="0"/>
      <w:marRight w:val="0"/>
      <w:marTop w:val="0"/>
      <w:marBottom w:val="0"/>
      <w:divBdr>
        <w:top w:val="none" w:sz="0" w:space="0" w:color="auto"/>
        <w:left w:val="none" w:sz="0" w:space="0" w:color="auto"/>
        <w:bottom w:val="none" w:sz="0" w:space="0" w:color="auto"/>
        <w:right w:val="none" w:sz="0" w:space="0" w:color="auto"/>
      </w:divBdr>
    </w:div>
    <w:div w:id="332413880">
      <w:bodyDiv w:val="1"/>
      <w:marLeft w:val="0"/>
      <w:marRight w:val="0"/>
      <w:marTop w:val="0"/>
      <w:marBottom w:val="0"/>
      <w:divBdr>
        <w:top w:val="none" w:sz="0" w:space="0" w:color="auto"/>
        <w:left w:val="none" w:sz="0" w:space="0" w:color="auto"/>
        <w:bottom w:val="none" w:sz="0" w:space="0" w:color="auto"/>
        <w:right w:val="none" w:sz="0" w:space="0" w:color="auto"/>
      </w:divBdr>
    </w:div>
    <w:div w:id="375661983">
      <w:bodyDiv w:val="1"/>
      <w:marLeft w:val="0"/>
      <w:marRight w:val="0"/>
      <w:marTop w:val="0"/>
      <w:marBottom w:val="0"/>
      <w:divBdr>
        <w:top w:val="none" w:sz="0" w:space="0" w:color="auto"/>
        <w:left w:val="none" w:sz="0" w:space="0" w:color="auto"/>
        <w:bottom w:val="none" w:sz="0" w:space="0" w:color="auto"/>
        <w:right w:val="none" w:sz="0" w:space="0" w:color="auto"/>
      </w:divBdr>
    </w:div>
    <w:div w:id="403798140">
      <w:bodyDiv w:val="1"/>
      <w:marLeft w:val="0"/>
      <w:marRight w:val="0"/>
      <w:marTop w:val="0"/>
      <w:marBottom w:val="0"/>
      <w:divBdr>
        <w:top w:val="none" w:sz="0" w:space="0" w:color="auto"/>
        <w:left w:val="none" w:sz="0" w:space="0" w:color="auto"/>
        <w:bottom w:val="none" w:sz="0" w:space="0" w:color="auto"/>
        <w:right w:val="none" w:sz="0" w:space="0" w:color="auto"/>
      </w:divBdr>
    </w:div>
    <w:div w:id="428965444">
      <w:bodyDiv w:val="1"/>
      <w:marLeft w:val="0"/>
      <w:marRight w:val="0"/>
      <w:marTop w:val="0"/>
      <w:marBottom w:val="0"/>
      <w:divBdr>
        <w:top w:val="none" w:sz="0" w:space="0" w:color="auto"/>
        <w:left w:val="none" w:sz="0" w:space="0" w:color="auto"/>
        <w:bottom w:val="none" w:sz="0" w:space="0" w:color="auto"/>
        <w:right w:val="none" w:sz="0" w:space="0" w:color="auto"/>
      </w:divBdr>
    </w:div>
    <w:div w:id="434400292">
      <w:bodyDiv w:val="1"/>
      <w:marLeft w:val="0"/>
      <w:marRight w:val="0"/>
      <w:marTop w:val="0"/>
      <w:marBottom w:val="0"/>
      <w:divBdr>
        <w:top w:val="none" w:sz="0" w:space="0" w:color="auto"/>
        <w:left w:val="none" w:sz="0" w:space="0" w:color="auto"/>
        <w:bottom w:val="none" w:sz="0" w:space="0" w:color="auto"/>
        <w:right w:val="none" w:sz="0" w:space="0" w:color="auto"/>
      </w:divBdr>
    </w:div>
    <w:div w:id="440153663">
      <w:bodyDiv w:val="1"/>
      <w:marLeft w:val="0"/>
      <w:marRight w:val="0"/>
      <w:marTop w:val="0"/>
      <w:marBottom w:val="0"/>
      <w:divBdr>
        <w:top w:val="none" w:sz="0" w:space="0" w:color="auto"/>
        <w:left w:val="none" w:sz="0" w:space="0" w:color="auto"/>
        <w:bottom w:val="none" w:sz="0" w:space="0" w:color="auto"/>
        <w:right w:val="none" w:sz="0" w:space="0" w:color="auto"/>
      </w:divBdr>
    </w:div>
    <w:div w:id="440340641">
      <w:bodyDiv w:val="1"/>
      <w:marLeft w:val="0"/>
      <w:marRight w:val="0"/>
      <w:marTop w:val="0"/>
      <w:marBottom w:val="0"/>
      <w:divBdr>
        <w:top w:val="none" w:sz="0" w:space="0" w:color="auto"/>
        <w:left w:val="none" w:sz="0" w:space="0" w:color="auto"/>
        <w:bottom w:val="none" w:sz="0" w:space="0" w:color="auto"/>
        <w:right w:val="none" w:sz="0" w:space="0" w:color="auto"/>
      </w:divBdr>
    </w:div>
    <w:div w:id="458954240">
      <w:bodyDiv w:val="1"/>
      <w:marLeft w:val="0"/>
      <w:marRight w:val="0"/>
      <w:marTop w:val="0"/>
      <w:marBottom w:val="0"/>
      <w:divBdr>
        <w:top w:val="none" w:sz="0" w:space="0" w:color="auto"/>
        <w:left w:val="none" w:sz="0" w:space="0" w:color="auto"/>
        <w:bottom w:val="none" w:sz="0" w:space="0" w:color="auto"/>
        <w:right w:val="none" w:sz="0" w:space="0" w:color="auto"/>
      </w:divBdr>
    </w:div>
    <w:div w:id="513231428">
      <w:bodyDiv w:val="1"/>
      <w:marLeft w:val="0"/>
      <w:marRight w:val="0"/>
      <w:marTop w:val="0"/>
      <w:marBottom w:val="0"/>
      <w:divBdr>
        <w:top w:val="none" w:sz="0" w:space="0" w:color="auto"/>
        <w:left w:val="none" w:sz="0" w:space="0" w:color="auto"/>
        <w:bottom w:val="none" w:sz="0" w:space="0" w:color="auto"/>
        <w:right w:val="none" w:sz="0" w:space="0" w:color="auto"/>
      </w:divBdr>
    </w:div>
    <w:div w:id="518157280">
      <w:bodyDiv w:val="1"/>
      <w:marLeft w:val="0"/>
      <w:marRight w:val="0"/>
      <w:marTop w:val="0"/>
      <w:marBottom w:val="0"/>
      <w:divBdr>
        <w:top w:val="none" w:sz="0" w:space="0" w:color="auto"/>
        <w:left w:val="none" w:sz="0" w:space="0" w:color="auto"/>
        <w:bottom w:val="none" w:sz="0" w:space="0" w:color="auto"/>
        <w:right w:val="none" w:sz="0" w:space="0" w:color="auto"/>
      </w:divBdr>
    </w:div>
    <w:div w:id="534194615">
      <w:bodyDiv w:val="1"/>
      <w:marLeft w:val="0"/>
      <w:marRight w:val="0"/>
      <w:marTop w:val="0"/>
      <w:marBottom w:val="0"/>
      <w:divBdr>
        <w:top w:val="none" w:sz="0" w:space="0" w:color="auto"/>
        <w:left w:val="none" w:sz="0" w:space="0" w:color="auto"/>
        <w:bottom w:val="none" w:sz="0" w:space="0" w:color="auto"/>
        <w:right w:val="none" w:sz="0" w:space="0" w:color="auto"/>
      </w:divBdr>
    </w:div>
    <w:div w:id="555580396">
      <w:bodyDiv w:val="1"/>
      <w:marLeft w:val="0"/>
      <w:marRight w:val="0"/>
      <w:marTop w:val="0"/>
      <w:marBottom w:val="0"/>
      <w:divBdr>
        <w:top w:val="none" w:sz="0" w:space="0" w:color="auto"/>
        <w:left w:val="none" w:sz="0" w:space="0" w:color="auto"/>
        <w:bottom w:val="none" w:sz="0" w:space="0" w:color="auto"/>
        <w:right w:val="none" w:sz="0" w:space="0" w:color="auto"/>
      </w:divBdr>
    </w:div>
    <w:div w:id="575746121">
      <w:bodyDiv w:val="1"/>
      <w:marLeft w:val="0"/>
      <w:marRight w:val="0"/>
      <w:marTop w:val="0"/>
      <w:marBottom w:val="0"/>
      <w:divBdr>
        <w:top w:val="none" w:sz="0" w:space="0" w:color="auto"/>
        <w:left w:val="none" w:sz="0" w:space="0" w:color="auto"/>
        <w:bottom w:val="none" w:sz="0" w:space="0" w:color="auto"/>
        <w:right w:val="none" w:sz="0" w:space="0" w:color="auto"/>
      </w:divBdr>
    </w:div>
    <w:div w:id="589123740">
      <w:bodyDiv w:val="1"/>
      <w:marLeft w:val="0"/>
      <w:marRight w:val="0"/>
      <w:marTop w:val="0"/>
      <w:marBottom w:val="0"/>
      <w:divBdr>
        <w:top w:val="none" w:sz="0" w:space="0" w:color="auto"/>
        <w:left w:val="none" w:sz="0" w:space="0" w:color="auto"/>
        <w:bottom w:val="none" w:sz="0" w:space="0" w:color="auto"/>
        <w:right w:val="none" w:sz="0" w:space="0" w:color="auto"/>
      </w:divBdr>
    </w:div>
    <w:div w:id="594825539">
      <w:bodyDiv w:val="1"/>
      <w:marLeft w:val="0"/>
      <w:marRight w:val="0"/>
      <w:marTop w:val="0"/>
      <w:marBottom w:val="0"/>
      <w:divBdr>
        <w:top w:val="none" w:sz="0" w:space="0" w:color="auto"/>
        <w:left w:val="none" w:sz="0" w:space="0" w:color="auto"/>
        <w:bottom w:val="none" w:sz="0" w:space="0" w:color="auto"/>
        <w:right w:val="none" w:sz="0" w:space="0" w:color="auto"/>
      </w:divBdr>
    </w:div>
    <w:div w:id="603079486">
      <w:bodyDiv w:val="1"/>
      <w:marLeft w:val="0"/>
      <w:marRight w:val="0"/>
      <w:marTop w:val="0"/>
      <w:marBottom w:val="0"/>
      <w:divBdr>
        <w:top w:val="none" w:sz="0" w:space="0" w:color="auto"/>
        <w:left w:val="none" w:sz="0" w:space="0" w:color="auto"/>
        <w:bottom w:val="none" w:sz="0" w:space="0" w:color="auto"/>
        <w:right w:val="none" w:sz="0" w:space="0" w:color="auto"/>
      </w:divBdr>
    </w:div>
    <w:div w:id="603728410">
      <w:bodyDiv w:val="1"/>
      <w:marLeft w:val="0"/>
      <w:marRight w:val="0"/>
      <w:marTop w:val="0"/>
      <w:marBottom w:val="0"/>
      <w:divBdr>
        <w:top w:val="none" w:sz="0" w:space="0" w:color="auto"/>
        <w:left w:val="none" w:sz="0" w:space="0" w:color="auto"/>
        <w:bottom w:val="none" w:sz="0" w:space="0" w:color="auto"/>
        <w:right w:val="none" w:sz="0" w:space="0" w:color="auto"/>
      </w:divBdr>
    </w:div>
    <w:div w:id="605504178">
      <w:bodyDiv w:val="1"/>
      <w:marLeft w:val="0"/>
      <w:marRight w:val="0"/>
      <w:marTop w:val="0"/>
      <w:marBottom w:val="0"/>
      <w:divBdr>
        <w:top w:val="none" w:sz="0" w:space="0" w:color="auto"/>
        <w:left w:val="none" w:sz="0" w:space="0" w:color="auto"/>
        <w:bottom w:val="none" w:sz="0" w:space="0" w:color="auto"/>
        <w:right w:val="none" w:sz="0" w:space="0" w:color="auto"/>
      </w:divBdr>
    </w:div>
    <w:div w:id="610668607">
      <w:bodyDiv w:val="1"/>
      <w:marLeft w:val="0"/>
      <w:marRight w:val="0"/>
      <w:marTop w:val="0"/>
      <w:marBottom w:val="0"/>
      <w:divBdr>
        <w:top w:val="none" w:sz="0" w:space="0" w:color="auto"/>
        <w:left w:val="none" w:sz="0" w:space="0" w:color="auto"/>
        <w:bottom w:val="none" w:sz="0" w:space="0" w:color="auto"/>
        <w:right w:val="none" w:sz="0" w:space="0" w:color="auto"/>
      </w:divBdr>
    </w:div>
    <w:div w:id="628976014">
      <w:bodyDiv w:val="1"/>
      <w:marLeft w:val="0"/>
      <w:marRight w:val="0"/>
      <w:marTop w:val="0"/>
      <w:marBottom w:val="0"/>
      <w:divBdr>
        <w:top w:val="none" w:sz="0" w:space="0" w:color="auto"/>
        <w:left w:val="none" w:sz="0" w:space="0" w:color="auto"/>
        <w:bottom w:val="none" w:sz="0" w:space="0" w:color="auto"/>
        <w:right w:val="none" w:sz="0" w:space="0" w:color="auto"/>
      </w:divBdr>
    </w:div>
    <w:div w:id="636952419">
      <w:bodyDiv w:val="1"/>
      <w:marLeft w:val="0"/>
      <w:marRight w:val="0"/>
      <w:marTop w:val="0"/>
      <w:marBottom w:val="0"/>
      <w:divBdr>
        <w:top w:val="none" w:sz="0" w:space="0" w:color="auto"/>
        <w:left w:val="none" w:sz="0" w:space="0" w:color="auto"/>
        <w:bottom w:val="none" w:sz="0" w:space="0" w:color="auto"/>
        <w:right w:val="none" w:sz="0" w:space="0" w:color="auto"/>
      </w:divBdr>
    </w:div>
    <w:div w:id="644503338">
      <w:bodyDiv w:val="1"/>
      <w:marLeft w:val="0"/>
      <w:marRight w:val="0"/>
      <w:marTop w:val="0"/>
      <w:marBottom w:val="0"/>
      <w:divBdr>
        <w:top w:val="none" w:sz="0" w:space="0" w:color="auto"/>
        <w:left w:val="none" w:sz="0" w:space="0" w:color="auto"/>
        <w:bottom w:val="none" w:sz="0" w:space="0" w:color="auto"/>
        <w:right w:val="none" w:sz="0" w:space="0" w:color="auto"/>
      </w:divBdr>
    </w:div>
    <w:div w:id="647324114">
      <w:bodyDiv w:val="1"/>
      <w:marLeft w:val="0"/>
      <w:marRight w:val="0"/>
      <w:marTop w:val="0"/>
      <w:marBottom w:val="0"/>
      <w:divBdr>
        <w:top w:val="none" w:sz="0" w:space="0" w:color="auto"/>
        <w:left w:val="none" w:sz="0" w:space="0" w:color="auto"/>
        <w:bottom w:val="none" w:sz="0" w:space="0" w:color="auto"/>
        <w:right w:val="none" w:sz="0" w:space="0" w:color="auto"/>
      </w:divBdr>
    </w:div>
    <w:div w:id="647324937">
      <w:bodyDiv w:val="1"/>
      <w:marLeft w:val="0"/>
      <w:marRight w:val="0"/>
      <w:marTop w:val="0"/>
      <w:marBottom w:val="0"/>
      <w:divBdr>
        <w:top w:val="none" w:sz="0" w:space="0" w:color="auto"/>
        <w:left w:val="none" w:sz="0" w:space="0" w:color="auto"/>
        <w:bottom w:val="none" w:sz="0" w:space="0" w:color="auto"/>
        <w:right w:val="none" w:sz="0" w:space="0" w:color="auto"/>
      </w:divBdr>
    </w:div>
    <w:div w:id="691227667">
      <w:bodyDiv w:val="1"/>
      <w:marLeft w:val="0"/>
      <w:marRight w:val="0"/>
      <w:marTop w:val="0"/>
      <w:marBottom w:val="0"/>
      <w:divBdr>
        <w:top w:val="none" w:sz="0" w:space="0" w:color="auto"/>
        <w:left w:val="none" w:sz="0" w:space="0" w:color="auto"/>
        <w:bottom w:val="none" w:sz="0" w:space="0" w:color="auto"/>
        <w:right w:val="none" w:sz="0" w:space="0" w:color="auto"/>
      </w:divBdr>
    </w:div>
    <w:div w:id="696466456">
      <w:bodyDiv w:val="1"/>
      <w:marLeft w:val="0"/>
      <w:marRight w:val="0"/>
      <w:marTop w:val="0"/>
      <w:marBottom w:val="0"/>
      <w:divBdr>
        <w:top w:val="none" w:sz="0" w:space="0" w:color="auto"/>
        <w:left w:val="none" w:sz="0" w:space="0" w:color="auto"/>
        <w:bottom w:val="none" w:sz="0" w:space="0" w:color="auto"/>
        <w:right w:val="none" w:sz="0" w:space="0" w:color="auto"/>
      </w:divBdr>
    </w:div>
    <w:div w:id="697392238">
      <w:bodyDiv w:val="1"/>
      <w:marLeft w:val="0"/>
      <w:marRight w:val="0"/>
      <w:marTop w:val="0"/>
      <w:marBottom w:val="0"/>
      <w:divBdr>
        <w:top w:val="none" w:sz="0" w:space="0" w:color="auto"/>
        <w:left w:val="none" w:sz="0" w:space="0" w:color="auto"/>
        <w:bottom w:val="none" w:sz="0" w:space="0" w:color="auto"/>
        <w:right w:val="none" w:sz="0" w:space="0" w:color="auto"/>
      </w:divBdr>
    </w:div>
    <w:div w:id="729570396">
      <w:bodyDiv w:val="1"/>
      <w:marLeft w:val="0"/>
      <w:marRight w:val="0"/>
      <w:marTop w:val="0"/>
      <w:marBottom w:val="0"/>
      <w:divBdr>
        <w:top w:val="none" w:sz="0" w:space="0" w:color="auto"/>
        <w:left w:val="none" w:sz="0" w:space="0" w:color="auto"/>
        <w:bottom w:val="none" w:sz="0" w:space="0" w:color="auto"/>
        <w:right w:val="none" w:sz="0" w:space="0" w:color="auto"/>
      </w:divBdr>
    </w:div>
    <w:div w:id="749355289">
      <w:bodyDiv w:val="1"/>
      <w:marLeft w:val="0"/>
      <w:marRight w:val="0"/>
      <w:marTop w:val="0"/>
      <w:marBottom w:val="0"/>
      <w:divBdr>
        <w:top w:val="none" w:sz="0" w:space="0" w:color="auto"/>
        <w:left w:val="none" w:sz="0" w:space="0" w:color="auto"/>
        <w:bottom w:val="none" w:sz="0" w:space="0" w:color="auto"/>
        <w:right w:val="none" w:sz="0" w:space="0" w:color="auto"/>
      </w:divBdr>
    </w:div>
    <w:div w:id="753475711">
      <w:bodyDiv w:val="1"/>
      <w:marLeft w:val="0"/>
      <w:marRight w:val="0"/>
      <w:marTop w:val="0"/>
      <w:marBottom w:val="0"/>
      <w:divBdr>
        <w:top w:val="none" w:sz="0" w:space="0" w:color="auto"/>
        <w:left w:val="none" w:sz="0" w:space="0" w:color="auto"/>
        <w:bottom w:val="none" w:sz="0" w:space="0" w:color="auto"/>
        <w:right w:val="none" w:sz="0" w:space="0" w:color="auto"/>
      </w:divBdr>
    </w:div>
    <w:div w:id="759060604">
      <w:bodyDiv w:val="1"/>
      <w:marLeft w:val="0"/>
      <w:marRight w:val="0"/>
      <w:marTop w:val="0"/>
      <w:marBottom w:val="0"/>
      <w:divBdr>
        <w:top w:val="none" w:sz="0" w:space="0" w:color="auto"/>
        <w:left w:val="none" w:sz="0" w:space="0" w:color="auto"/>
        <w:bottom w:val="none" w:sz="0" w:space="0" w:color="auto"/>
        <w:right w:val="none" w:sz="0" w:space="0" w:color="auto"/>
      </w:divBdr>
      <w:divsChild>
        <w:div w:id="930940482">
          <w:marLeft w:val="0"/>
          <w:marRight w:val="0"/>
          <w:marTop w:val="0"/>
          <w:marBottom w:val="0"/>
          <w:divBdr>
            <w:top w:val="none" w:sz="0" w:space="0" w:color="auto"/>
            <w:left w:val="none" w:sz="0" w:space="0" w:color="auto"/>
            <w:bottom w:val="none" w:sz="0" w:space="0" w:color="auto"/>
            <w:right w:val="none" w:sz="0" w:space="0" w:color="auto"/>
          </w:divBdr>
          <w:divsChild>
            <w:div w:id="1355106804">
              <w:marLeft w:val="0"/>
              <w:marRight w:val="0"/>
              <w:marTop w:val="0"/>
              <w:marBottom w:val="0"/>
              <w:divBdr>
                <w:top w:val="none" w:sz="0" w:space="0" w:color="auto"/>
                <w:left w:val="none" w:sz="0" w:space="0" w:color="auto"/>
                <w:bottom w:val="none" w:sz="0" w:space="0" w:color="auto"/>
                <w:right w:val="none" w:sz="0" w:space="0" w:color="auto"/>
              </w:divBdr>
              <w:divsChild>
                <w:div w:id="818689974">
                  <w:marLeft w:val="0"/>
                  <w:marRight w:val="0"/>
                  <w:marTop w:val="0"/>
                  <w:marBottom w:val="0"/>
                  <w:divBdr>
                    <w:top w:val="none" w:sz="0" w:space="0" w:color="auto"/>
                    <w:left w:val="none" w:sz="0" w:space="0" w:color="auto"/>
                    <w:bottom w:val="none" w:sz="0" w:space="0" w:color="auto"/>
                    <w:right w:val="none" w:sz="0" w:space="0" w:color="auto"/>
                  </w:divBdr>
                  <w:divsChild>
                    <w:div w:id="2019118156">
                      <w:marLeft w:val="0"/>
                      <w:marRight w:val="0"/>
                      <w:marTop w:val="0"/>
                      <w:marBottom w:val="0"/>
                      <w:divBdr>
                        <w:top w:val="none" w:sz="0" w:space="0" w:color="auto"/>
                        <w:left w:val="none" w:sz="0" w:space="0" w:color="auto"/>
                        <w:bottom w:val="none" w:sz="0" w:space="0" w:color="auto"/>
                        <w:right w:val="none" w:sz="0" w:space="0" w:color="auto"/>
                      </w:divBdr>
                      <w:divsChild>
                        <w:div w:id="13873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190913">
      <w:bodyDiv w:val="1"/>
      <w:marLeft w:val="0"/>
      <w:marRight w:val="0"/>
      <w:marTop w:val="0"/>
      <w:marBottom w:val="0"/>
      <w:divBdr>
        <w:top w:val="none" w:sz="0" w:space="0" w:color="auto"/>
        <w:left w:val="none" w:sz="0" w:space="0" w:color="auto"/>
        <w:bottom w:val="none" w:sz="0" w:space="0" w:color="auto"/>
        <w:right w:val="none" w:sz="0" w:space="0" w:color="auto"/>
      </w:divBdr>
    </w:div>
    <w:div w:id="770399099">
      <w:bodyDiv w:val="1"/>
      <w:marLeft w:val="0"/>
      <w:marRight w:val="0"/>
      <w:marTop w:val="0"/>
      <w:marBottom w:val="0"/>
      <w:divBdr>
        <w:top w:val="none" w:sz="0" w:space="0" w:color="auto"/>
        <w:left w:val="none" w:sz="0" w:space="0" w:color="auto"/>
        <w:bottom w:val="none" w:sz="0" w:space="0" w:color="auto"/>
        <w:right w:val="none" w:sz="0" w:space="0" w:color="auto"/>
      </w:divBdr>
    </w:div>
    <w:div w:id="784236136">
      <w:bodyDiv w:val="1"/>
      <w:marLeft w:val="0"/>
      <w:marRight w:val="0"/>
      <w:marTop w:val="0"/>
      <w:marBottom w:val="0"/>
      <w:divBdr>
        <w:top w:val="none" w:sz="0" w:space="0" w:color="auto"/>
        <w:left w:val="none" w:sz="0" w:space="0" w:color="auto"/>
        <w:bottom w:val="none" w:sz="0" w:space="0" w:color="auto"/>
        <w:right w:val="none" w:sz="0" w:space="0" w:color="auto"/>
      </w:divBdr>
    </w:div>
    <w:div w:id="793402561">
      <w:bodyDiv w:val="1"/>
      <w:marLeft w:val="0"/>
      <w:marRight w:val="0"/>
      <w:marTop w:val="0"/>
      <w:marBottom w:val="0"/>
      <w:divBdr>
        <w:top w:val="none" w:sz="0" w:space="0" w:color="auto"/>
        <w:left w:val="none" w:sz="0" w:space="0" w:color="auto"/>
        <w:bottom w:val="none" w:sz="0" w:space="0" w:color="auto"/>
        <w:right w:val="none" w:sz="0" w:space="0" w:color="auto"/>
      </w:divBdr>
    </w:div>
    <w:div w:id="798492840">
      <w:bodyDiv w:val="1"/>
      <w:marLeft w:val="0"/>
      <w:marRight w:val="0"/>
      <w:marTop w:val="0"/>
      <w:marBottom w:val="0"/>
      <w:divBdr>
        <w:top w:val="none" w:sz="0" w:space="0" w:color="auto"/>
        <w:left w:val="none" w:sz="0" w:space="0" w:color="auto"/>
        <w:bottom w:val="none" w:sz="0" w:space="0" w:color="auto"/>
        <w:right w:val="none" w:sz="0" w:space="0" w:color="auto"/>
      </w:divBdr>
    </w:div>
    <w:div w:id="820511031">
      <w:bodyDiv w:val="1"/>
      <w:marLeft w:val="0"/>
      <w:marRight w:val="0"/>
      <w:marTop w:val="0"/>
      <w:marBottom w:val="0"/>
      <w:divBdr>
        <w:top w:val="none" w:sz="0" w:space="0" w:color="auto"/>
        <w:left w:val="none" w:sz="0" w:space="0" w:color="auto"/>
        <w:bottom w:val="none" w:sz="0" w:space="0" w:color="auto"/>
        <w:right w:val="none" w:sz="0" w:space="0" w:color="auto"/>
      </w:divBdr>
    </w:div>
    <w:div w:id="846990392">
      <w:bodyDiv w:val="1"/>
      <w:marLeft w:val="0"/>
      <w:marRight w:val="0"/>
      <w:marTop w:val="0"/>
      <w:marBottom w:val="0"/>
      <w:divBdr>
        <w:top w:val="none" w:sz="0" w:space="0" w:color="auto"/>
        <w:left w:val="none" w:sz="0" w:space="0" w:color="auto"/>
        <w:bottom w:val="none" w:sz="0" w:space="0" w:color="auto"/>
        <w:right w:val="none" w:sz="0" w:space="0" w:color="auto"/>
      </w:divBdr>
    </w:div>
    <w:div w:id="885683386">
      <w:bodyDiv w:val="1"/>
      <w:marLeft w:val="0"/>
      <w:marRight w:val="0"/>
      <w:marTop w:val="0"/>
      <w:marBottom w:val="0"/>
      <w:divBdr>
        <w:top w:val="none" w:sz="0" w:space="0" w:color="auto"/>
        <w:left w:val="none" w:sz="0" w:space="0" w:color="auto"/>
        <w:bottom w:val="none" w:sz="0" w:space="0" w:color="auto"/>
        <w:right w:val="none" w:sz="0" w:space="0" w:color="auto"/>
      </w:divBdr>
    </w:div>
    <w:div w:id="892615474">
      <w:bodyDiv w:val="1"/>
      <w:marLeft w:val="0"/>
      <w:marRight w:val="0"/>
      <w:marTop w:val="0"/>
      <w:marBottom w:val="0"/>
      <w:divBdr>
        <w:top w:val="none" w:sz="0" w:space="0" w:color="auto"/>
        <w:left w:val="none" w:sz="0" w:space="0" w:color="auto"/>
        <w:bottom w:val="none" w:sz="0" w:space="0" w:color="auto"/>
        <w:right w:val="none" w:sz="0" w:space="0" w:color="auto"/>
      </w:divBdr>
    </w:div>
    <w:div w:id="899831432">
      <w:bodyDiv w:val="1"/>
      <w:marLeft w:val="0"/>
      <w:marRight w:val="0"/>
      <w:marTop w:val="0"/>
      <w:marBottom w:val="0"/>
      <w:divBdr>
        <w:top w:val="none" w:sz="0" w:space="0" w:color="auto"/>
        <w:left w:val="none" w:sz="0" w:space="0" w:color="auto"/>
        <w:bottom w:val="none" w:sz="0" w:space="0" w:color="auto"/>
        <w:right w:val="none" w:sz="0" w:space="0" w:color="auto"/>
      </w:divBdr>
    </w:div>
    <w:div w:id="900166807">
      <w:bodyDiv w:val="1"/>
      <w:marLeft w:val="0"/>
      <w:marRight w:val="0"/>
      <w:marTop w:val="0"/>
      <w:marBottom w:val="0"/>
      <w:divBdr>
        <w:top w:val="none" w:sz="0" w:space="0" w:color="auto"/>
        <w:left w:val="none" w:sz="0" w:space="0" w:color="auto"/>
        <w:bottom w:val="none" w:sz="0" w:space="0" w:color="auto"/>
        <w:right w:val="none" w:sz="0" w:space="0" w:color="auto"/>
      </w:divBdr>
    </w:div>
    <w:div w:id="900555467">
      <w:bodyDiv w:val="1"/>
      <w:marLeft w:val="0"/>
      <w:marRight w:val="0"/>
      <w:marTop w:val="0"/>
      <w:marBottom w:val="0"/>
      <w:divBdr>
        <w:top w:val="none" w:sz="0" w:space="0" w:color="auto"/>
        <w:left w:val="none" w:sz="0" w:space="0" w:color="auto"/>
        <w:bottom w:val="none" w:sz="0" w:space="0" w:color="auto"/>
        <w:right w:val="none" w:sz="0" w:space="0" w:color="auto"/>
      </w:divBdr>
    </w:div>
    <w:div w:id="939917708">
      <w:bodyDiv w:val="1"/>
      <w:marLeft w:val="0"/>
      <w:marRight w:val="0"/>
      <w:marTop w:val="0"/>
      <w:marBottom w:val="0"/>
      <w:divBdr>
        <w:top w:val="none" w:sz="0" w:space="0" w:color="auto"/>
        <w:left w:val="none" w:sz="0" w:space="0" w:color="auto"/>
        <w:bottom w:val="none" w:sz="0" w:space="0" w:color="auto"/>
        <w:right w:val="none" w:sz="0" w:space="0" w:color="auto"/>
      </w:divBdr>
    </w:div>
    <w:div w:id="957225311">
      <w:bodyDiv w:val="1"/>
      <w:marLeft w:val="0"/>
      <w:marRight w:val="0"/>
      <w:marTop w:val="0"/>
      <w:marBottom w:val="0"/>
      <w:divBdr>
        <w:top w:val="none" w:sz="0" w:space="0" w:color="auto"/>
        <w:left w:val="none" w:sz="0" w:space="0" w:color="auto"/>
        <w:bottom w:val="none" w:sz="0" w:space="0" w:color="auto"/>
        <w:right w:val="none" w:sz="0" w:space="0" w:color="auto"/>
      </w:divBdr>
    </w:div>
    <w:div w:id="960452909">
      <w:bodyDiv w:val="1"/>
      <w:marLeft w:val="0"/>
      <w:marRight w:val="0"/>
      <w:marTop w:val="0"/>
      <w:marBottom w:val="0"/>
      <w:divBdr>
        <w:top w:val="none" w:sz="0" w:space="0" w:color="auto"/>
        <w:left w:val="none" w:sz="0" w:space="0" w:color="auto"/>
        <w:bottom w:val="none" w:sz="0" w:space="0" w:color="auto"/>
        <w:right w:val="none" w:sz="0" w:space="0" w:color="auto"/>
      </w:divBdr>
    </w:div>
    <w:div w:id="964238224">
      <w:bodyDiv w:val="1"/>
      <w:marLeft w:val="0"/>
      <w:marRight w:val="0"/>
      <w:marTop w:val="0"/>
      <w:marBottom w:val="0"/>
      <w:divBdr>
        <w:top w:val="none" w:sz="0" w:space="0" w:color="auto"/>
        <w:left w:val="none" w:sz="0" w:space="0" w:color="auto"/>
        <w:bottom w:val="none" w:sz="0" w:space="0" w:color="auto"/>
        <w:right w:val="none" w:sz="0" w:space="0" w:color="auto"/>
      </w:divBdr>
    </w:div>
    <w:div w:id="975910163">
      <w:bodyDiv w:val="1"/>
      <w:marLeft w:val="0"/>
      <w:marRight w:val="0"/>
      <w:marTop w:val="0"/>
      <w:marBottom w:val="0"/>
      <w:divBdr>
        <w:top w:val="none" w:sz="0" w:space="0" w:color="auto"/>
        <w:left w:val="none" w:sz="0" w:space="0" w:color="auto"/>
        <w:bottom w:val="none" w:sz="0" w:space="0" w:color="auto"/>
        <w:right w:val="none" w:sz="0" w:space="0" w:color="auto"/>
      </w:divBdr>
    </w:div>
    <w:div w:id="979771676">
      <w:bodyDiv w:val="1"/>
      <w:marLeft w:val="0"/>
      <w:marRight w:val="0"/>
      <w:marTop w:val="0"/>
      <w:marBottom w:val="0"/>
      <w:divBdr>
        <w:top w:val="none" w:sz="0" w:space="0" w:color="auto"/>
        <w:left w:val="none" w:sz="0" w:space="0" w:color="auto"/>
        <w:bottom w:val="none" w:sz="0" w:space="0" w:color="auto"/>
        <w:right w:val="none" w:sz="0" w:space="0" w:color="auto"/>
      </w:divBdr>
    </w:div>
    <w:div w:id="981615063">
      <w:bodyDiv w:val="1"/>
      <w:marLeft w:val="0"/>
      <w:marRight w:val="0"/>
      <w:marTop w:val="0"/>
      <w:marBottom w:val="0"/>
      <w:divBdr>
        <w:top w:val="none" w:sz="0" w:space="0" w:color="auto"/>
        <w:left w:val="none" w:sz="0" w:space="0" w:color="auto"/>
        <w:bottom w:val="none" w:sz="0" w:space="0" w:color="auto"/>
        <w:right w:val="none" w:sz="0" w:space="0" w:color="auto"/>
      </w:divBdr>
    </w:div>
    <w:div w:id="991107073">
      <w:bodyDiv w:val="1"/>
      <w:marLeft w:val="0"/>
      <w:marRight w:val="0"/>
      <w:marTop w:val="0"/>
      <w:marBottom w:val="0"/>
      <w:divBdr>
        <w:top w:val="none" w:sz="0" w:space="0" w:color="auto"/>
        <w:left w:val="none" w:sz="0" w:space="0" w:color="auto"/>
        <w:bottom w:val="none" w:sz="0" w:space="0" w:color="auto"/>
        <w:right w:val="none" w:sz="0" w:space="0" w:color="auto"/>
      </w:divBdr>
    </w:div>
    <w:div w:id="1018119665">
      <w:bodyDiv w:val="1"/>
      <w:marLeft w:val="0"/>
      <w:marRight w:val="0"/>
      <w:marTop w:val="0"/>
      <w:marBottom w:val="0"/>
      <w:divBdr>
        <w:top w:val="none" w:sz="0" w:space="0" w:color="auto"/>
        <w:left w:val="none" w:sz="0" w:space="0" w:color="auto"/>
        <w:bottom w:val="none" w:sz="0" w:space="0" w:color="auto"/>
        <w:right w:val="none" w:sz="0" w:space="0" w:color="auto"/>
      </w:divBdr>
    </w:div>
    <w:div w:id="1042243404">
      <w:bodyDiv w:val="1"/>
      <w:marLeft w:val="0"/>
      <w:marRight w:val="0"/>
      <w:marTop w:val="0"/>
      <w:marBottom w:val="0"/>
      <w:divBdr>
        <w:top w:val="none" w:sz="0" w:space="0" w:color="auto"/>
        <w:left w:val="none" w:sz="0" w:space="0" w:color="auto"/>
        <w:bottom w:val="none" w:sz="0" w:space="0" w:color="auto"/>
        <w:right w:val="none" w:sz="0" w:space="0" w:color="auto"/>
      </w:divBdr>
    </w:div>
    <w:div w:id="1072969466">
      <w:bodyDiv w:val="1"/>
      <w:marLeft w:val="0"/>
      <w:marRight w:val="0"/>
      <w:marTop w:val="0"/>
      <w:marBottom w:val="0"/>
      <w:divBdr>
        <w:top w:val="none" w:sz="0" w:space="0" w:color="auto"/>
        <w:left w:val="none" w:sz="0" w:space="0" w:color="auto"/>
        <w:bottom w:val="none" w:sz="0" w:space="0" w:color="auto"/>
        <w:right w:val="none" w:sz="0" w:space="0" w:color="auto"/>
      </w:divBdr>
    </w:div>
    <w:div w:id="1073118008">
      <w:bodyDiv w:val="1"/>
      <w:marLeft w:val="0"/>
      <w:marRight w:val="0"/>
      <w:marTop w:val="0"/>
      <w:marBottom w:val="0"/>
      <w:divBdr>
        <w:top w:val="none" w:sz="0" w:space="0" w:color="auto"/>
        <w:left w:val="none" w:sz="0" w:space="0" w:color="auto"/>
        <w:bottom w:val="none" w:sz="0" w:space="0" w:color="auto"/>
        <w:right w:val="none" w:sz="0" w:space="0" w:color="auto"/>
      </w:divBdr>
    </w:div>
    <w:div w:id="1073430902">
      <w:bodyDiv w:val="1"/>
      <w:marLeft w:val="0"/>
      <w:marRight w:val="0"/>
      <w:marTop w:val="0"/>
      <w:marBottom w:val="0"/>
      <w:divBdr>
        <w:top w:val="none" w:sz="0" w:space="0" w:color="auto"/>
        <w:left w:val="none" w:sz="0" w:space="0" w:color="auto"/>
        <w:bottom w:val="none" w:sz="0" w:space="0" w:color="auto"/>
        <w:right w:val="none" w:sz="0" w:space="0" w:color="auto"/>
      </w:divBdr>
    </w:div>
    <w:div w:id="1081683312">
      <w:bodyDiv w:val="1"/>
      <w:marLeft w:val="0"/>
      <w:marRight w:val="0"/>
      <w:marTop w:val="0"/>
      <w:marBottom w:val="0"/>
      <w:divBdr>
        <w:top w:val="none" w:sz="0" w:space="0" w:color="auto"/>
        <w:left w:val="none" w:sz="0" w:space="0" w:color="auto"/>
        <w:bottom w:val="none" w:sz="0" w:space="0" w:color="auto"/>
        <w:right w:val="none" w:sz="0" w:space="0" w:color="auto"/>
      </w:divBdr>
    </w:div>
    <w:div w:id="1089086195">
      <w:bodyDiv w:val="1"/>
      <w:marLeft w:val="0"/>
      <w:marRight w:val="0"/>
      <w:marTop w:val="0"/>
      <w:marBottom w:val="0"/>
      <w:divBdr>
        <w:top w:val="none" w:sz="0" w:space="0" w:color="auto"/>
        <w:left w:val="none" w:sz="0" w:space="0" w:color="auto"/>
        <w:bottom w:val="none" w:sz="0" w:space="0" w:color="auto"/>
        <w:right w:val="none" w:sz="0" w:space="0" w:color="auto"/>
      </w:divBdr>
    </w:div>
    <w:div w:id="1090273676">
      <w:bodyDiv w:val="1"/>
      <w:marLeft w:val="0"/>
      <w:marRight w:val="0"/>
      <w:marTop w:val="0"/>
      <w:marBottom w:val="0"/>
      <w:divBdr>
        <w:top w:val="none" w:sz="0" w:space="0" w:color="auto"/>
        <w:left w:val="none" w:sz="0" w:space="0" w:color="auto"/>
        <w:bottom w:val="none" w:sz="0" w:space="0" w:color="auto"/>
        <w:right w:val="none" w:sz="0" w:space="0" w:color="auto"/>
      </w:divBdr>
    </w:div>
    <w:div w:id="1106736121">
      <w:bodyDiv w:val="1"/>
      <w:marLeft w:val="0"/>
      <w:marRight w:val="0"/>
      <w:marTop w:val="0"/>
      <w:marBottom w:val="0"/>
      <w:divBdr>
        <w:top w:val="none" w:sz="0" w:space="0" w:color="auto"/>
        <w:left w:val="none" w:sz="0" w:space="0" w:color="auto"/>
        <w:bottom w:val="none" w:sz="0" w:space="0" w:color="auto"/>
        <w:right w:val="none" w:sz="0" w:space="0" w:color="auto"/>
      </w:divBdr>
    </w:div>
    <w:div w:id="1113749453">
      <w:bodyDiv w:val="1"/>
      <w:marLeft w:val="0"/>
      <w:marRight w:val="0"/>
      <w:marTop w:val="0"/>
      <w:marBottom w:val="0"/>
      <w:divBdr>
        <w:top w:val="none" w:sz="0" w:space="0" w:color="auto"/>
        <w:left w:val="none" w:sz="0" w:space="0" w:color="auto"/>
        <w:bottom w:val="none" w:sz="0" w:space="0" w:color="auto"/>
        <w:right w:val="none" w:sz="0" w:space="0" w:color="auto"/>
      </w:divBdr>
    </w:div>
    <w:div w:id="1125730388">
      <w:bodyDiv w:val="1"/>
      <w:marLeft w:val="0"/>
      <w:marRight w:val="0"/>
      <w:marTop w:val="0"/>
      <w:marBottom w:val="0"/>
      <w:divBdr>
        <w:top w:val="none" w:sz="0" w:space="0" w:color="auto"/>
        <w:left w:val="none" w:sz="0" w:space="0" w:color="auto"/>
        <w:bottom w:val="none" w:sz="0" w:space="0" w:color="auto"/>
        <w:right w:val="none" w:sz="0" w:space="0" w:color="auto"/>
      </w:divBdr>
    </w:div>
    <w:div w:id="1128822003">
      <w:bodyDiv w:val="1"/>
      <w:marLeft w:val="0"/>
      <w:marRight w:val="0"/>
      <w:marTop w:val="0"/>
      <w:marBottom w:val="0"/>
      <w:divBdr>
        <w:top w:val="none" w:sz="0" w:space="0" w:color="auto"/>
        <w:left w:val="none" w:sz="0" w:space="0" w:color="auto"/>
        <w:bottom w:val="none" w:sz="0" w:space="0" w:color="auto"/>
        <w:right w:val="none" w:sz="0" w:space="0" w:color="auto"/>
      </w:divBdr>
    </w:div>
    <w:div w:id="1134373946">
      <w:bodyDiv w:val="1"/>
      <w:marLeft w:val="0"/>
      <w:marRight w:val="0"/>
      <w:marTop w:val="0"/>
      <w:marBottom w:val="0"/>
      <w:divBdr>
        <w:top w:val="none" w:sz="0" w:space="0" w:color="auto"/>
        <w:left w:val="none" w:sz="0" w:space="0" w:color="auto"/>
        <w:bottom w:val="none" w:sz="0" w:space="0" w:color="auto"/>
        <w:right w:val="none" w:sz="0" w:space="0" w:color="auto"/>
      </w:divBdr>
    </w:div>
    <w:div w:id="1136029177">
      <w:bodyDiv w:val="1"/>
      <w:marLeft w:val="0"/>
      <w:marRight w:val="0"/>
      <w:marTop w:val="0"/>
      <w:marBottom w:val="0"/>
      <w:divBdr>
        <w:top w:val="none" w:sz="0" w:space="0" w:color="auto"/>
        <w:left w:val="none" w:sz="0" w:space="0" w:color="auto"/>
        <w:bottom w:val="none" w:sz="0" w:space="0" w:color="auto"/>
        <w:right w:val="none" w:sz="0" w:space="0" w:color="auto"/>
      </w:divBdr>
    </w:div>
    <w:div w:id="1141310807">
      <w:bodyDiv w:val="1"/>
      <w:marLeft w:val="0"/>
      <w:marRight w:val="0"/>
      <w:marTop w:val="0"/>
      <w:marBottom w:val="0"/>
      <w:divBdr>
        <w:top w:val="none" w:sz="0" w:space="0" w:color="auto"/>
        <w:left w:val="none" w:sz="0" w:space="0" w:color="auto"/>
        <w:bottom w:val="none" w:sz="0" w:space="0" w:color="auto"/>
        <w:right w:val="none" w:sz="0" w:space="0" w:color="auto"/>
      </w:divBdr>
    </w:div>
    <w:div w:id="1146778970">
      <w:bodyDiv w:val="1"/>
      <w:marLeft w:val="0"/>
      <w:marRight w:val="0"/>
      <w:marTop w:val="0"/>
      <w:marBottom w:val="0"/>
      <w:divBdr>
        <w:top w:val="none" w:sz="0" w:space="0" w:color="auto"/>
        <w:left w:val="none" w:sz="0" w:space="0" w:color="auto"/>
        <w:bottom w:val="none" w:sz="0" w:space="0" w:color="auto"/>
        <w:right w:val="none" w:sz="0" w:space="0" w:color="auto"/>
      </w:divBdr>
    </w:div>
    <w:div w:id="1156720690">
      <w:bodyDiv w:val="1"/>
      <w:marLeft w:val="0"/>
      <w:marRight w:val="0"/>
      <w:marTop w:val="0"/>
      <w:marBottom w:val="0"/>
      <w:divBdr>
        <w:top w:val="none" w:sz="0" w:space="0" w:color="auto"/>
        <w:left w:val="none" w:sz="0" w:space="0" w:color="auto"/>
        <w:bottom w:val="none" w:sz="0" w:space="0" w:color="auto"/>
        <w:right w:val="none" w:sz="0" w:space="0" w:color="auto"/>
      </w:divBdr>
    </w:div>
    <w:div w:id="1158422324">
      <w:bodyDiv w:val="1"/>
      <w:marLeft w:val="0"/>
      <w:marRight w:val="0"/>
      <w:marTop w:val="0"/>
      <w:marBottom w:val="0"/>
      <w:divBdr>
        <w:top w:val="none" w:sz="0" w:space="0" w:color="auto"/>
        <w:left w:val="none" w:sz="0" w:space="0" w:color="auto"/>
        <w:bottom w:val="none" w:sz="0" w:space="0" w:color="auto"/>
        <w:right w:val="none" w:sz="0" w:space="0" w:color="auto"/>
      </w:divBdr>
    </w:div>
    <w:div w:id="1190098345">
      <w:bodyDiv w:val="1"/>
      <w:marLeft w:val="0"/>
      <w:marRight w:val="0"/>
      <w:marTop w:val="0"/>
      <w:marBottom w:val="0"/>
      <w:divBdr>
        <w:top w:val="none" w:sz="0" w:space="0" w:color="auto"/>
        <w:left w:val="none" w:sz="0" w:space="0" w:color="auto"/>
        <w:bottom w:val="none" w:sz="0" w:space="0" w:color="auto"/>
        <w:right w:val="none" w:sz="0" w:space="0" w:color="auto"/>
      </w:divBdr>
    </w:div>
    <w:div w:id="1194031679">
      <w:bodyDiv w:val="1"/>
      <w:marLeft w:val="0"/>
      <w:marRight w:val="0"/>
      <w:marTop w:val="0"/>
      <w:marBottom w:val="0"/>
      <w:divBdr>
        <w:top w:val="none" w:sz="0" w:space="0" w:color="auto"/>
        <w:left w:val="none" w:sz="0" w:space="0" w:color="auto"/>
        <w:bottom w:val="none" w:sz="0" w:space="0" w:color="auto"/>
        <w:right w:val="none" w:sz="0" w:space="0" w:color="auto"/>
      </w:divBdr>
    </w:div>
    <w:div w:id="1212424192">
      <w:bodyDiv w:val="1"/>
      <w:marLeft w:val="0"/>
      <w:marRight w:val="0"/>
      <w:marTop w:val="0"/>
      <w:marBottom w:val="0"/>
      <w:divBdr>
        <w:top w:val="none" w:sz="0" w:space="0" w:color="auto"/>
        <w:left w:val="none" w:sz="0" w:space="0" w:color="auto"/>
        <w:bottom w:val="none" w:sz="0" w:space="0" w:color="auto"/>
        <w:right w:val="none" w:sz="0" w:space="0" w:color="auto"/>
      </w:divBdr>
    </w:div>
    <w:div w:id="1212572871">
      <w:bodyDiv w:val="1"/>
      <w:marLeft w:val="0"/>
      <w:marRight w:val="0"/>
      <w:marTop w:val="0"/>
      <w:marBottom w:val="0"/>
      <w:divBdr>
        <w:top w:val="none" w:sz="0" w:space="0" w:color="auto"/>
        <w:left w:val="none" w:sz="0" w:space="0" w:color="auto"/>
        <w:bottom w:val="none" w:sz="0" w:space="0" w:color="auto"/>
        <w:right w:val="none" w:sz="0" w:space="0" w:color="auto"/>
      </w:divBdr>
    </w:div>
    <w:div w:id="1217740783">
      <w:bodyDiv w:val="1"/>
      <w:marLeft w:val="0"/>
      <w:marRight w:val="0"/>
      <w:marTop w:val="0"/>
      <w:marBottom w:val="0"/>
      <w:divBdr>
        <w:top w:val="none" w:sz="0" w:space="0" w:color="auto"/>
        <w:left w:val="none" w:sz="0" w:space="0" w:color="auto"/>
        <w:bottom w:val="none" w:sz="0" w:space="0" w:color="auto"/>
        <w:right w:val="none" w:sz="0" w:space="0" w:color="auto"/>
      </w:divBdr>
    </w:div>
    <w:div w:id="1232889638">
      <w:bodyDiv w:val="1"/>
      <w:marLeft w:val="0"/>
      <w:marRight w:val="0"/>
      <w:marTop w:val="0"/>
      <w:marBottom w:val="0"/>
      <w:divBdr>
        <w:top w:val="none" w:sz="0" w:space="0" w:color="auto"/>
        <w:left w:val="none" w:sz="0" w:space="0" w:color="auto"/>
        <w:bottom w:val="none" w:sz="0" w:space="0" w:color="auto"/>
        <w:right w:val="none" w:sz="0" w:space="0" w:color="auto"/>
      </w:divBdr>
    </w:div>
    <w:div w:id="1244534759">
      <w:bodyDiv w:val="1"/>
      <w:marLeft w:val="0"/>
      <w:marRight w:val="0"/>
      <w:marTop w:val="0"/>
      <w:marBottom w:val="0"/>
      <w:divBdr>
        <w:top w:val="none" w:sz="0" w:space="0" w:color="auto"/>
        <w:left w:val="none" w:sz="0" w:space="0" w:color="auto"/>
        <w:bottom w:val="none" w:sz="0" w:space="0" w:color="auto"/>
        <w:right w:val="none" w:sz="0" w:space="0" w:color="auto"/>
      </w:divBdr>
    </w:div>
    <w:div w:id="1265771110">
      <w:bodyDiv w:val="1"/>
      <w:marLeft w:val="0"/>
      <w:marRight w:val="0"/>
      <w:marTop w:val="0"/>
      <w:marBottom w:val="0"/>
      <w:divBdr>
        <w:top w:val="none" w:sz="0" w:space="0" w:color="auto"/>
        <w:left w:val="none" w:sz="0" w:space="0" w:color="auto"/>
        <w:bottom w:val="none" w:sz="0" w:space="0" w:color="auto"/>
        <w:right w:val="none" w:sz="0" w:space="0" w:color="auto"/>
      </w:divBdr>
    </w:div>
    <w:div w:id="1266424794">
      <w:bodyDiv w:val="1"/>
      <w:marLeft w:val="0"/>
      <w:marRight w:val="0"/>
      <w:marTop w:val="0"/>
      <w:marBottom w:val="0"/>
      <w:divBdr>
        <w:top w:val="none" w:sz="0" w:space="0" w:color="auto"/>
        <w:left w:val="none" w:sz="0" w:space="0" w:color="auto"/>
        <w:bottom w:val="none" w:sz="0" w:space="0" w:color="auto"/>
        <w:right w:val="none" w:sz="0" w:space="0" w:color="auto"/>
      </w:divBdr>
    </w:div>
    <w:div w:id="1267732122">
      <w:bodyDiv w:val="1"/>
      <w:marLeft w:val="0"/>
      <w:marRight w:val="0"/>
      <w:marTop w:val="0"/>
      <w:marBottom w:val="0"/>
      <w:divBdr>
        <w:top w:val="none" w:sz="0" w:space="0" w:color="auto"/>
        <w:left w:val="none" w:sz="0" w:space="0" w:color="auto"/>
        <w:bottom w:val="none" w:sz="0" w:space="0" w:color="auto"/>
        <w:right w:val="none" w:sz="0" w:space="0" w:color="auto"/>
      </w:divBdr>
    </w:div>
    <w:div w:id="1282614060">
      <w:bodyDiv w:val="1"/>
      <w:marLeft w:val="0"/>
      <w:marRight w:val="0"/>
      <w:marTop w:val="0"/>
      <w:marBottom w:val="0"/>
      <w:divBdr>
        <w:top w:val="none" w:sz="0" w:space="0" w:color="auto"/>
        <w:left w:val="none" w:sz="0" w:space="0" w:color="auto"/>
        <w:bottom w:val="none" w:sz="0" w:space="0" w:color="auto"/>
        <w:right w:val="none" w:sz="0" w:space="0" w:color="auto"/>
      </w:divBdr>
    </w:div>
    <w:div w:id="1289237417">
      <w:bodyDiv w:val="1"/>
      <w:marLeft w:val="0"/>
      <w:marRight w:val="0"/>
      <w:marTop w:val="0"/>
      <w:marBottom w:val="0"/>
      <w:divBdr>
        <w:top w:val="none" w:sz="0" w:space="0" w:color="auto"/>
        <w:left w:val="none" w:sz="0" w:space="0" w:color="auto"/>
        <w:bottom w:val="none" w:sz="0" w:space="0" w:color="auto"/>
        <w:right w:val="none" w:sz="0" w:space="0" w:color="auto"/>
      </w:divBdr>
    </w:div>
    <w:div w:id="1307205385">
      <w:bodyDiv w:val="1"/>
      <w:marLeft w:val="0"/>
      <w:marRight w:val="0"/>
      <w:marTop w:val="0"/>
      <w:marBottom w:val="0"/>
      <w:divBdr>
        <w:top w:val="none" w:sz="0" w:space="0" w:color="auto"/>
        <w:left w:val="none" w:sz="0" w:space="0" w:color="auto"/>
        <w:bottom w:val="none" w:sz="0" w:space="0" w:color="auto"/>
        <w:right w:val="none" w:sz="0" w:space="0" w:color="auto"/>
      </w:divBdr>
    </w:div>
    <w:div w:id="1318070001">
      <w:bodyDiv w:val="1"/>
      <w:marLeft w:val="0"/>
      <w:marRight w:val="0"/>
      <w:marTop w:val="0"/>
      <w:marBottom w:val="0"/>
      <w:divBdr>
        <w:top w:val="none" w:sz="0" w:space="0" w:color="auto"/>
        <w:left w:val="none" w:sz="0" w:space="0" w:color="auto"/>
        <w:bottom w:val="none" w:sz="0" w:space="0" w:color="auto"/>
        <w:right w:val="none" w:sz="0" w:space="0" w:color="auto"/>
      </w:divBdr>
    </w:div>
    <w:div w:id="1337611102">
      <w:bodyDiv w:val="1"/>
      <w:marLeft w:val="0"/>
      <w:marRight w:val="0"/>
      <w:marTop w:val="0"/>
      <w:marBottom w:val="0"/>
      <w:divBdr>
        <w:top w:val="none" w:sz="0" w:space="0" w:color="auto"/>
        <w:left w:val="none" w:sz="0" w:space="0" w:color="auto"/>
        <w:bottom w:val="none" w:sz="0" w:space="0" w:color="auto"/>
        <w:right w:val="none" w:sz="0" w:space="0" w:color="auto"/>
      </w:divBdr>
    </w:div>
    <w:div w:id="1338268305">
      <w:bodyDiv w:val="1"/>
      <w:marLeft w:val="0"/>
      <w:marRight w:val="0"/>
      <w:marTop w:val="0"/>
      <w:marBottom w:val="0"/>
      <w:divBdr>
        <w:top w:val="none" w:sz="0" w:space="0" w:color="auto"/>
        <w:left w:val="none" w:sz="0" w:space="0" w:color="auto"/>
        <w:bottom w:val="none" w:sz="0" w:space="0" w:color="auto"/>
        <w:right w:val="none" w:sz="0" w:space="0" w:color="auto"/>
      </w:divBdr>
    </w:div>
    <w:div w:id="1348098621">
      <w:bodyDiv w:val="1"/>
      <w:marLeft w:val="0"/>
      <w:marRight w:val="0"/>
      <w:marTop w:val="0"/>
      <w:marBottom w:val="0"/>
      <w:divBdr>
        <w:top w:val="none" w:sz="0" w:space="0" w:color="auto"/>
        <w:left w:val="none" w:sz="0" w:space="0" w:color="auto"/>
        <w:bottom w:val="none" w:sz="0" w:space="0" w:color="auto"/>
        <w:right w:val="none" w:sz="0" w:space="0" w:color="auto"/>
      </w:divBdr>
    </w:div>
    <w:div w:id="1349718700">
      <w:bodyDiv w:val="1"/>
      <w:marLeft w:val="0"/>
      <w:marRight w:val="0"/>
      <w:marTop w:val="0"/>
      <w:marBottom w:val="0"/>
      <w:divBdr>
        <w:top w:val="none" w:sz="0" w:space="0" w:color="auto"/>
        <w:left w:val="none" w:sz="0" w:space="0" w:color="auto"/>
        <w:bottom w:val="none" w:sz="0" w:space="0" w:color="auto"/>
        <w:right w:val="none" w:sz="0" w:space="0" w:color="auto"/>
      </w:divBdr>
    </w:div>
    <w:div w:id="1384717269">
      <w:bodyDiv w:val="1"/>
      <w:marLeft w:val="0"/>
      <w:marRight w:val="0"/>
      <w:marTop w:val="0"/>
      <w:marBottom w:val="0"/>
      <w:divBdr>
        <w:top w:val="none" w:sz="0" w:space="0" w:color="auto"/>
        <w:left w:val="none" w:sz="0" w:space="0" w:color="auto"/>
        <w:bottom w:val="none" w:sz="0" w:space="0" w:color="auto"/>
        <w:right w:val="none" w:sz="0" w:space="0" w:color="auto"/>
      </w:divBdr>
    </w:div>
    <w:div w:id="1407723429">
      <w:bodyDiv w:val="1"/>
      <w:marLeft w:val="0"/>
      <w:marRight w:val="0"/>
      <w:marTop w:val="0"/>
      <w:marBottom w:val="0"/>
      <w:divBdr>
        <w:top w:val="none" w:sz="0" w:space="0" w:color="auto"/>
        <w:left w:val="none" w:sz="0" w:space="0" w:color="auto"/>
        <w:bottom w:val="none" w:sz="0" w:space="0" w:color="auto"/>
        <w:right w:val="none" w:sz="0" w:space="0" w:color="auto"/>
      </w:divBdr>
    </w:div>
    <w:div w:id="1410956337">
      <w:bodyDiv w:val="1"/>
      <w:marLeft w:val="0"/>
      <w:marRight w:val="0"/>
      <w:marTop w:val="0"/>
      <w:marBottom w:val="0"/>
      <w:divBdr>
        <w:top w:val="none" w:sz="0" w:space="0" w:color="auto"/>
        <w:left w:val="none" w:sz="0" w:space="0" w:color="auto"/>
        <w:bottom w:val="none" w:sz="0" w:space="0" w:color="auto"/>
        <w:right w:val="none" w:sz="0" w:space="0" w:color="auto"/>
      </w:divBdr>
    </w:div>
    <w:div w:id="1449591713">
      <w:bodyDiv w:val="1"/>
      <w:marLeft w:val="0"/>
      <w:marRight w:val="0"/>
      <w:marTop w:val="0"/>
      <w:marBottom w:val="0"/>
      <w:divBdr>
        <w:top w:val="none" w:sz="0" w:space="0" w:color="auto"/>
        <w:left w:val="none" w:sz="0" w:space="0" w:color="auto"/>
        <w:bottom w:val="none" w:sz="0" w:space="0" w:color="auto"/>
        <w:right w:val="none" w:sz="0" w:space="0" w:color="auto"/>
      </w:divBdr>
    </w:div>
    <w:div w:id="1455054360">
      <w:bodyDiv w:val="1"/>
      <w:marLeft w:val="0"/>
      <w:marRight w:val="0"/>
      <w:marTop w:val="0"/>
      <w:marBottom w:val="0"/>
      <w:divBdr>
        <w:top w:val="none" w:sz="0" w:space="0" w:color="auto"/>
        <w:left w:val="none" w:sz="0" w:space="0" w:color="auto"/>
        <w:bottom w:val="none" w:sz="0" w:space="0" w:color="auto"/>
        <w:right w:val="none" w:sz="0" w:space="0" w:color="auto"/>
      </w:divBdr>
    </w:div>
    <w:div w:id="1455559446">
      <w:bodyDiv w:val="1"/>
      <w:marLeft w:val="0"/>
      <w:marRight w:val="0"/>
      <w:marTop w:val="0"/>
      <w:marBottom w:val="0"/>
      <w:divBdr>
        <w:top w:val="none" w:sz="0" w:space="0" w:color="auto"/>
        <w:left w:val="none" w:sz="0" w:space="0" w:color="auto"/>
        <w:bottom w:val="none" w:sz="0" w:space="0" w:color="auto"/>
        <w:right w:val="none" w:sz="0" w:space="0" w:color="auto"/>
      </w:divBdr>
    </w:div>
    <w:div w:id="1457413177">
      <w:bodyDiv w:val="1"/>
      <w:marLeft w:val="0"/>
      <w:marRight w:val="0"/>
      <w:marTop w:val="0"/>
      <w:marBottom w:val="0"/>
      <w:divBdr>
        <w:top w:val="none" w:sz="0" w:space="0" w:color="auto"/>
        <w:left w:val="none" w:sz="0" w:space="0" w:color="auto"/>
        <w:bottom w:val="none" w:sz="0" w:space="0" w:color="auto"/>
        <w:right w:val="none" w:sz="0" w:space="0" w:color="auto"/>
      </w:divBdr>
    </w:div>
    <w:div w:id="1470977299">
      <w:bodyDiv w:val="1"/>
      <w:marLeft w:val="0"/>
      <w:marRight w:val="0"/>
      <w:marTop w:val="0"/>
      <w:marBottom w:val="0"/>
      <w:divBdr>
        <w:top w:val="none" w:sz="0" w:space="0" w:color="auto"/>
        <w:left w:val="none" w:sz="0" w:space="0" w:color="auto"/>
        <w:bottom w:val="none" w:sz="0" w:space="0" w:color="auto"/>
        <w:right w:val="none" w:sz="0" w:space="0" w:color="auto"/>
      </w:divBdr>
    </w:div>
    <w:div w:id="1482700262">
      <w:bodyDiv w:val="1"/>
      <w:marLeft w:val="0"/>
      <w:marRight w:val="0"/>
      <w:marTop w:val="0"/>
      <w:marBottom w:val="0"/>
      <w:divBdr>
        <w:top w:val="none" w:sz="0" w:space="0" w:color="auto"/>
        <w:left w:val="none" w:sz="0" w:space="0" w:color="auto"/>
        <w:bottom w:val="none" w:sz="0" w:space="0" w:color="auto"/>
        <w:right w:val="none" w:sz="0" w:space="0" w:color="auto"/>
      </w:divBdr>
    </w:div>
    <w:div w:id="1491435474">
      <w:bodyDiv w:val="1"/>
      <w:marLeft w:val="0"/>
      <w:marRight w:val="0"/>
      <w:marTop w:val="0"/>
      <w:marBottom w:val="0"/>
      <w:divBdr>
        <w:top w:val="none" w:sz="0" w:space="0" w:color="auto"/>
        <w:left w:val="none" w:sz="0" w:space="0" w:color="auto"/>
        <w:bottom w:val="none" w:sz="0" w:space="0" w:color="auto"/>
        <w:right w:val="none" w:sz="0" w:space="0" w:color="auto"/>
      </w:divBdr>
    </w:div>
    <w:div w:id="1498227315">
      <w:bodyDiv w:val="1"/>
      <w:marLeft w:val="0"/>
      <w:marRight w:val="0"/>
      <w:marTop w:val="0"/>
      <w:marBottom w:val="0"/>
      <w:divBdr>
        <w:top w:val="none" w:sz="0" w:space="0" w:color="auto"/>
        <w:left w:val="none" w:sz="0" w:space="0" w:color="auto"/>
        <w:bottom w:val="none" w:sz="0" w:space="0" w:color="auto"/>
        <w:right w:val="none" w:sz="0" w:space="0" w:color="auto"/>
      </w:divBdr>
    </w:div>
    <w:div w:id="1511916878">
      <w:bodyDiv w:val="1"/>
      <w:marLeft w:val="0"/>
      <w:marRight w:val="0"/>
      <w:marTop w:val="0"/>
      <w:marBottom w:val="0"/>
      <w:divBdr>
        <w:top w:val="none" w:sz="0" w:space="0" w:color="auto"/>
        <w:left w:val="none" w:sz="0" w:space="0" w:color="auto"/>
        <w:bottom w:val="none" w:sz="0" w:space="0" w:color="auto"/>
        <w:right w:val="none" w:sz="0" w:space="0" w:color="auto"/>
      </w:divBdr>
    </w:div>
    <w:div w:id="1527060173">
      <w:bodyDiv w:val="1"/>
      <w:marLeft w:val="0"/>
      <w:marRight w:val="0"/>
      <w:marTop w:val="0"/>
      <w:marBottom w:val="0"/>
      <w:divBdr>
        <w:top w:val="none" w:sz="0" w:space="0" w:color="auto"/>
        <w:left w:val="none" w:sz="0" w:space="0" w:color="auto"/>
        <w:bottom w:val="none" w:sz="0" w:space="0" w:color="auto"/>
        <w:right w:val="none" w:sz="0" w:space="0" w:color="auto"/>
      </w:divBdr>
    </w:div>
    <w:div w:id="1566335177">
      <w:bodyDiv w:val="1"/>
      <w:marLeft w:val="0"/>
      <w:marRight w:val="0"/>
      <w:marTop w:val="0"/>
      <w:marBottom w:val="0"/>
      <w:divBdr>
        <w:top w:val="none" w:sz="0" w:space="0" w:color="auto"/>
        <w:left w:val="none" w:sz="0" w:space="0" w:color="auto"/>
        <w:bottom w:val="none" w:sz="0" w:space="0" w:color="auto"/>
        <w:right w:val="none" w:sz="0" w:space="0" w:color="auto"/>
      </w:divBdr>
    </w:div>
    <w:div w:id="1573931814">
      <w:bodyDiv w:val="1"/>
      <w:marLeft w:val="0"/>
      <w:marRight w:val="0"/>
      <w:marTop w:val="0"/>
      <w:marBottom w:val="0"/>
      <w:divBdr>
        <w:top w:val="none" w:sz="0" w:space="0" w:color="auto"/>
        <w:left w:val="none" w:sz="0" w:space="0" w:color="auto"/>
        <w:bottom w:val="none" w:sz="0" w:space="0" w:color="auto"/>
        <w:right w:val="none" w:sz="0" w:space="0" w:color="auto"/>
      </w:divBdr>
    </w:div>
    <w:div w:id="1591816787">
      <w:bodyDiv w:val="1"/>
      <w:marLeft w:val="0"/>
      <w:marRight w:val="0"/>
      <w:marTop w:val="0"/>
      <w:marBottom w:val="0"/>
      <w:divBdr>
        <w:top w:val="none" w:sz="0" w:space="0" w:color="auto"/>
        <w:left w:val="none" w:sz="0" w:space="0" w:color="auto"/>
        <w:bottom w:val="none" w:sz="0" w:space="0" w:color="auto"/>
        <w:right w:val="none" w:sz="0" w:space="0" w:color="auto"/>
      </w:divBdr>
    </w:div>
    <w:div w:id="1595942358">
      <w:bodyDiv w:val="1"/>
      <w:marLeft w:val="0"/>
      <w:marRight w:val="0"/>
      <w:marTop w:val="0"/>
      <w:marBottom w:val="0"/>
      <w:divBdr>
        <w:top w:val="none" w:sz="0" w:space="0" w:color="auto"/>
        <w:left w:val="none" w:sz="0" w:space="0" w:color="auto"/>
        <w:bottom w:val="none" w:sz="0" w:space="0" w:color="auto"/>
        <w:right w:val="none" w:sz="0" w:space="0" w:color="auto"/>
      </w:divBdr>
    </w:div>
    <w:div w:id="1596480811">
      <w:bodyDiv w:val="1"/>
      <w:marLeft w:val="0"/>
      <w:marRight w:val="0"/>
      <w:marTop w:val="0"/>
      <w:marBottom w:val="0"/>
      <w:divBdr>
        <w:top w:val="none" w:sz="0" w:space="0" w:color="auto"/>
        <w:left w:val="none" w:sz="0" w:space="0" w:color="auto"/>
        <w:bottom w:val="none" w:sz="0" w:space="0" w:color="auto"/>
        <w:right w:val="none" w:sz="0" w:space="0" w:color="auto"/>
      </w:divBdr>
    </w:div>
    <w:div w:id="1603149160">
      <w:bodyDiv w:val="1"/>
      <w:marLeft w:val="0"/>
      <w:marRight w:val="0"/>
      <w:marTop w:val="0"/>
      <w:marBottom w:val="0"/>
      <w:divBdr>
        <w:top w:val="none" w:sz="0" w:space="0" w:color="auto"/>
        <w:left w:val="none" w:sz="0" w:space="0" w:color="auto"/>
        <w:bottom w:val="none" w:sz="0" w:space="0" w:color="auto"/>
        <w:right w:val="none" w:sz="0" w:space="0" w:color="auto"/>
      </w:divBdr>
    </w:div>
    <w:div w:id="1603414357">
      <w:bodyDiv w:val="1"/>
      <w:marLeft w:val="0"/>
      <w:marRight w:val="0"/>
      <w:marTop w:val="0"/>
      <w:marBottom w:val="0"/>
      <w:divBdr>
        <w:top w:val="none" w:sz="0" w:space="0" w:color="auto"/>
        <w:left w:val="none" w:sz="0" w:space="0" w:color="auto"/>
        <w:bottom w:val="none" w:sz="0" w:space="0" w:color="auto"/>
        <w:right w:val="none" w:sz="0" w:space="0" w:color="auto"/>
      </w:divBdr>
    </w:div>
    <w:div w:id="1617641447">
      <w:bodyDiv w:val="1"/>
      <w:marLeft w:val="0"/>
      <w:marRight w:val="0"/>
      <w:marTop w:val="0"/>
      <w:marBottom w:val="0"/>
      <w:divBdr>
        <w:top w:val="none" w:sz="0" w:space="0" w:color="auto"/>
        <w:left w:val="none" w:sz="0" w:space="0" w:color="auto"/>
        <w:bottom w:val="none" w:sz="0" w:space="0" w:color="auto"/>
        <w:right w:val="none" w:sz="0" w:space="0" w:color="auto"/>
      </w:divBdr>
    </w:div>
    <w:div w:id="1618294519">
      <w:bodyDiv w:val="1"/>
      <w:marLeft w:val="0"/>
      <w:marRight w:val="0"/>
      <w:marTop w:val="0"/>
      <w:marBottom w:val="0"/>
      <w:divBdr>
        <w:top w:val="none" w:sz="0" w:space="0" w:color="auto"/>
        <w:left w:val="none" w:sz="0" w:space="0" w:color="auto"/>
        <w:bottom w:val="none" w:sz="0" w:space="0" w:color="auto"/>
        <w:right w:val="none" w:sz="0" w:space="0" w:color="auto"/>
      </w:divBdr>
    </w:div>
    <w:div w:id="1624535528">
      <w:bodyDiv w:val="1"/>
      <w:marLeft w:val="0"/>
      <w:marRight w:val="0"/>
      <w:marTop w:val="0"/>
      <w:marBottom w:val="0"/>
      <w:divBdr>
        <w:top w:val="none" w:sz="0" w:space="0" w:color="auto"/>
        <w:left w:val="none" w:sz="0" w:space="0" w:color="auto"/>
        <w:bottom w:val="none" w:sz="0" w:space="0" w:color="auto"/>
        <w:right w:val="none" w:sz="0" w:space="0" w:color="auto"/>
      </w:divBdr>
    </w:div>
    <w:div w:id="1632708820">
      <w:bodyDiv w:val="1"/>
      <w:marLeft w:val="0"/>
      <w:marRight w:val="0"/>
      <w:marTop w:val="0"/>
      <w:marBottom w:val="0"/>
      <w:divBdr>
        <w:top w:val="none" w:sz="0" w:space="0" w:color="auto"/>
        <w:left w:val="none" w:sz="0" w:space="0" w:color="auto"/>
        <w:bottom w:val="none" w:sz="0" w:space="0" w:color="auto"/>
        <w:right w:val="none" w:sz="0" w:space="0" w:color="auto"/>
      </w:divBdr>
    </w:div>
    <w:div w:id="1649091387">
      <w:bodyDiv w:val="1"/>
      <w:marLeft w:val="0"/>
      <w:marRight w:val="0"/>
      <w:marTop w:val="0"/>
      <w:marBottom w:val="0"/>
      <w:divBdr>
        <w:top w:val="none" w:sz="0" w:space="0" w:color="auto"/>
        <w:left w:val="none" w:sz="0" w:space="0" w:color="auto"/>
        <w:bottom w:val="none" w:sz="0" w:space="0" w:color="auto"/>
        <w:right w:val="none" w:sz="0" w:space="0" w:color="auto"/>
      </w:divBdr>
      <w:divsChild>
        <w:div w:id="336008900">
          <w:marLeft w:val="0"/>
          <w:marRight w:val="0"/>
          <w:marTop w:val="0"/>
          <w:marBottom w:val="0"/>
          <w:divBdr>
            <w:top w:val="none" w:sz="0" w:space="0" w:color="auto"/>
            <w:left w:val="none" w:sz="0" w:space="0" w:color="auto"/>
            <w:bottom w:val="none" w:sz="0" w:space="0" w:color="auto"/>
            <w:right w:val="none" w:sz="0" w:space="0" w:color="auto"/>
          </w:divBdr>
          <w:divsChild>
            <w:div w:id="1364944176">
              <w:marLeft w:val="0"/>
              <w:marRight w:val="0"/>
              <w:marTop w:val="0"/>
              <w:marBottom w:val="0"/>
              <w:divBdr>
                <w:top w:val="none" w:sz="0" w:space="0" w:color="auto"/>
                <w:left w:val="none" w:sz="0" w:space="0" w:color="auto"/>
                <w:bottom w:val="none" w:sz="0" w:space="0" w:color="auto"/>
                <w:right w:val="none" w:sz="0" w:space="0" w:color="auto"/>
              </w:divBdr>
              <w:divsChild>
                <w:div w:id="383530467">
                  <w:marLeft w:val="0"/>
                  <w:marRight w:val="0"/>
                  <w:marTop w:val="0"/>
                  <w:marBottom w:val="0"/>
                  <w:divBdr>
                    <w:top w:val="none" w:sz="0" w:space="0" w:color="auto"/>
                    <w:left w:val="none" w:sz="0" w:space="0" w:color="auto"/>
                    <w:bottom w:val="none" w:sz="0" w:space="0" w:color="auto"/>
                    <w:right w:val="none" w:sz="0" w:space="0" w:color="auto"/>
                  </w:divBdr>
                  <w:divsChild>
                    <w:div w:id="823546606">
                      <w:marLeft w:val="0"/>
                      <w:marRight w:val="0"/>
                      <w:marTop w:val="0"/>
                      <w:marBottom w:val="0"/>
                      <w:divBdr>
                        <w:top w:val="none" w:sz="0" w:space="0" w:color="auto"/>
                        <w:left w:val="none" w:sz="0" w:space="0" w:color="auto"/>
                        <w:bottom w:val="none" w:sz="0" w:space="0" w:color="auto"/>
                        <w:right w:val="none" w:sz="0" w:space="0" w:color="auto"/>
                      </w:divBdr>
                      <w:divsChild>
                        <w:div w:id="20594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894190">
      <w:bodyDiv w:val="1"/>
      <w:marLeft w:val="0"/>
      <w:marRight w:val="0"/>
      <w:marTop w:val="0"/>
      <w:marBottom w:val="0"/>
      <w:divBdr>
        <w:top w:val="none" w:sz="0" w:space="0" w:color="auto"/>
        <w:left w:val="none" w:sz="0" w:space="0" w:color="auto"/>
        <w:bottom w:val="none" w:sz="0" w:space="0" w:color="auto"/>
        <w:right w:val="none" w:sz="0" w:space="0" w:color="auto"/>
      </w:divBdr>
    </w:div>
    <w:div w:id="1654023332">
      <w:bodyDiv w:val="1"/>
      <w:marLeft w:val="0"/>
      <w:marRight w:val="0"/>
      <w:marTop w:val="0"/>
      <w:marBottom w:val="0"/>
      <w:divBdr>
        <w:top w:val="none" w:sz="0" w:space="0" w:color="auto"/>
        <w:left w:val="none" w:sz="0" w:space="0" w:color="auto"/>
        <w:bottom w:val="none" w:sz="0" w:space="0" w:color="auto"/>
        <w:right w:val="none" w:sz="0" w:space="0" w:color="auto"/>
      </w:divBdr>
    </w:div>
    <w:div w:id="1709259513">
      <w:bodyDiv w:val="1"/>
      <w:marLeft w:val="0"/>
      <w:marRight w:val="0"/>
      <w:marTop w:val="0"/>
      <w:marBottom w:val="0"/>
      <w:divBdr>
        <w:top w:val="none" w:sz="0" w:space="0" w:color="auto"/>
        <w:left w:val="none" w:sz="0" w:space="0" w:color="auto"/>
        <w:bottom w:val="none" w:sz="0" w:space="0" w:color="auto"/>
        <w:right w:val="none" w:sz="0" w:space="0" w:color="auto"/>
      </w:divBdr>
    </w:div>
    <w:div w:id="1761293901">
      <w:bodyDiv w:val="1"/>
      <w:marLeft w:val="0"/>
      <w:marRight w:val="0"/>
      <w:marTop w:val="0"/>
      <w:marBottom w:val="0"/>
      <w:divBdr>
        <w:top w:val="none" w:sz="0" w:space="0" w:color="auto"/>
        <w:left w:val="none" w:sz="0" w:space="0" w:color="auto"/>
        <w:bottom w:val="none" w:sz="0" w:space="0" w:color="auto"/>
        <w:right w:val="none" w:sz="0" w:space="0" w:color="auto"/>
      </w:divBdr>
    </w:div>
    <w:div w:id="1763448139">
      <w:bodyDiv w:val="1"/>
      <w:marLeft w:val="0"/>
      <w:marRight w:val="0"/>
      <w:marTop w:val="0"/>
      <w:marBottom w:val="0"/>
      <w:divBdr>
        <w:top w:val="none" w:sz="0" w:space="0" w:color="auto"/>
        <w:left w:val="none" w:sz="0" w:space="0" w:color="auto"/>
        <w:bottom w:val="none" w:sz="0" w:space="0" w:color="auto"/>
        <w:right w:val="none" w:sz="0" w:space="0" w:color="auto"/>
      </w:divBdr>
    </w:div>
    <w:div w:id="1770468579">
      <w:bodyDiv w:val="1"/>
      <w:marLeft w:val="0"/>
      <w:marRight w:val="0"/>
      <w:marTop w:val="0"/>
      <w:marBottom w:val="0"/>
      <w:divBdr>
        <w:top w:val="none" w:sz="0" w:space="0" w:color="auto"/>
        <w:left w:val="none" w:sz="0" w:space="0" w:color="auto"/>
        <w:bottom w:val="none" w:sz="0" w:space="0" w:color="auto"/>
        <w:right w:val="none" w:sz="0" w:space="0" w:color="auto"/>
      </w:divBdr>
    </w:div>
    <w:div w:id="1786315924">
      <w:bodyDiv w:val="1"/>
      <w:marLeft w:val="0"/>
      <w:marRight w:val="0"/>
      <w:marTop w:val="0"/>
      <w:marBottom w:val="0"/>
      <w:divBdr>
        <w:top w:val="none" w:sz="0" w:space="0" w:color="auto"/>
        <w:left w:val="none" w:sz="0" w:space="0" w:color="auto"/>
        <w:bottom w:val="none" w:sz="0" w:space="0" w:color="auto"/>
        <w:right w:val="none" w:sz="0" w:space="0" w:color="auto"/>
      </w:divBdr>
    </w:div>
    <w:div w:id="1795251752">
      <w:bodyDiv w:val="1"/>
      <w:marLeft w:val="0"/>
      <w:marRight w:val="0"/>
      <w:marTop w:val="0"/>
      <w:marBottom w:val="0"/>
      <w:divBdr>
        <w:top w:val="none" w:sz="0" w:space="0" w:color="auto"/>
        <w:left w:val="none" w:sz="0" w:space="0" w:color="auto"/>
        <w:bottom w:val="none" w:sz="0" w:space="0" w:color="auto"/>
        <w:right w:val="none" w:sz="0" w:space="0" w:color="auto"/>
      </w:divBdr>
    </w:div>
    <w:div w:id="1803422951">
      <w:bodyDiv w:val="1"/>
      <w:marLeft w:val="0"/>
      <w:marRight w:val="0"/>
      <w:marTop w:val="0"/>
      <w:marBottom w:val="0"/>
      <w:divBdr>
        <w:top w:val="none" w:sz="0" w:space="0" w:color="auto"/>
        <w:left w:val="none" w:sz="0" w:space="0" w:color="auto"/>
        <w:bottom w:val="none" w:sz="0" w:space="0" w:color="auto"/>
        <w:right w:val="none" w:sz="0" w:space="0" w:color="auto"/>
      </w:divBdr>
    </w:div>
    <w:div w:id="1819150015">
      <w:bodyDiv w:val="1"/>
      <w:marLeft w:val="0"/>
      <w:marRight w:val="0"/>
      <w:marTop w:val="0"/>
      <w:marBottom w:val="0"/>
      <w:divBdr>
        <w:top w:val="none" w:sz="0" w:space="0" w:color="auto"/>
        <w:left w:val="none" w:sz="0" w:space="0" w:color="auto"/>
        <w:bottom w:val="none" w:sz="0" w:space="0" w:color="auto"/>
        <w:right w:val="none" w:sz="0" w:space="0" w:color="auto"/>
      </w:divBdr>
    </w:div>
    <w:div w:id="1829710470">
      <w:bodyDiv w:val="1"/>
      <w:marLeft w:val="0"/>
      <w:marRight w:val="0"/>
      <w:marTop w:val="0"/>
      <w:marBottom w:val="0"/>
      <w:divBdr>
        <w:top w:val="none" w:sz="0" w:space="0" w:color="auto"/>
        <w:left w:val="none" w:sz="0" w:space="0" w:color="auto"/>
        <w:bottom w:val="none" w:sz="0" w:space="0" w:color="auto"/>
        <w:right w:val="none" w:sz="0" w:space="0" w:color="auto"/>
      </w:divBdr>
    </w:div>
    <w:div w:id="1838885422">
      <w:bodyDiv w:val="1"/>
      <w:marLeft w:val="0"/>
      <w:marRight w:val="0"/>
      <w:marTop w:val="0"/>
      <w:marBottom w:val="0"/>
      <w:divBdr>
        <w:top w:val="none" w:sz="0" w:space="0" w:color="auto"/>
        <w:left w:val="none" w:sz="0" w:space="0" w:color="auto"/>
        <w:bottom w:val="none" w:sz="0" w:space="0" w:color="auto"/>
        <w:right w:val="none" w:sz="0" w:space="0" w:color="auto"/>
      </w:divBdr>
    </w:div>
    <w:div w:id="1859731803">
      <w:bodyDiv w:val="1"/>
      <w:marLeft w:val="0"/>
      <w:marRight w:val="0"/>
      <w:marTop w:val="0"/>
      <w:marBottom w:val="0"/>
      <w:divBdr>
        <w:top w:val="none" w:sz="0" w:space="0" w:color="auto"/>
        <w:left w:val="none" w:sz="0" w:space="0" w:color="auto"/>
        <w:bottom w:val="none" w:sz="0" w:space="0" w:color="auto"/>
        <w:right w:val="none" w:sz="0" w:space="0" w:color="auto"/>
      </w:divBdr>
    </w:div>
    <w:div w:id="1866359344">
      <w:bodyDiv w:val="1"/>
      <w:marLeft w:val="0"/>
      <w:marRight w:val="0"/>
      <w:marTop w:val="0"/>
      <w:marBottom w:val="0"/>
      <w:divBdr>
        <w:top w:val="none" w:sz="0" w:space="0" w:color="auto"/>
        <w:left w:val="none" w:sz="0" w:space="0" w:color="auto"/>
        <w:bottom w:val="none" w:sz="0" w:space="0" w:color="auto"/>
        <w:right w:val="none" w:sz="0" w:space="0" w:color="auto"/>
      </w:divBdr>
    </w:div>
    <w:div w:id="1879392515">
      <w:bodyDiv w:val="1"/>
      <w:marLeft w:val="0"/>
      <w:marRight w:val="0"/>
      <w:marTop w:val="0"/>
      <w:marBottom w:val="0"/>
      <w:divBdr>
        <w:top w:val="none" w:sz="0" w:space="0" w:color="auto"/>
        <w:left w:val="none" w:sz="0" w:space="0" w:color="auto"/>
        <w:bottom w:val="none" w:sz="0" w:space="0" w:color="auto"/>
        <w:right w:val="none" w:sz="0" w:space="0" w:color="auto"/>
      </w:divBdr>
    </w:div>
    <w:div w:id="1883857338">
      <w:bodyDiv w:val="1"/>
      <w:marLeft w:val="0"/>
      <w:marRight w:val="0"/>
      <w:marTop w:val="0"/>
      <w:marBottom w:val="0"/>
      <w:divBdr>
        <w:top w:val="none" w:sz="0" w:space="0" w:color="auto"/>
        <w:left w:val="none" w:sz="0" w:space="0" w:color="auto"/>
        <w:bottom w:val="none" w:sz="0" w:space="0" w:color="auto"/>
        <w:right w:val="none" w:sz="0" w:space="0" w:color="auto"/>
      </w:divBdr>
    </w:div>
    <w:div w:id="1893232217">
      <w:bodyDiv w:val="1"/>
      <w:marLeft w:val="0"/>
      <w:marRight w:val="0"/>
      <w:marTop w:val="0"/>
      <w:marBottom w:val="0"/>
      <w:divBdr>
        <w:top w:val="none" w:sz="0" w:space="0" w:color="auto"/>
        <w:left w:val="none" w:sz="0" w:space="0" w:color="auto"/>
        <w:bottom w:val="none" w:sz="0" w:space="0" w:color="auto"/>
        <w:right w:val="none" w:sz="0" w:space="0" w:color="auto"/>
      </w:divBdr>
    </w:div>
    <w:div w:id="1895892956">
      <w:bodyDiv w:val="1"/>
      <w:marLeft w:val="0"/>
      <w:marRight w:val="0"/>
      <w:marTop w:val="0"/>
      <w:marBottom w:val="0"/>
      <w:divBdr>
        <w:top w:val="none" w:sz="0" w:space="0" w:color="auto"/>
        <w:left w:val="none" w:sz="0" w:space="0" w:color="auto"/>
        <w:bottom w:val="none" w:sz="0" w:space="0" w:color="auto"/>
        <w:right w:val="none" w:sz="0" w:space="0" w:color="auto"/>
      </w:divBdr>
    </w:div>
    <w:div w:id="1899051125">
      <w:bodyDiv w:val="1"/>
      <w:marLeft w:val="0"/>
      <w:marRight w:val="0"/>
      <w:marTop w:val="0"/>
      <w:marBottom w:val="0"/>
      <w:divBdr>
        <w:top w:val="none" w:sz="0" w:space="0" w:color="auto"/>
        <w:left w:val="none" w:sz="0" w:space="0" w:color="auto"/>
        <w:bottom w:val="none" w:sz="0" w:space="0" w:color="auto"/>
        <w:right w:val="none" w:sz="0" w:space="0" w:color="auto"/>
      </w:divBdr>
    </w:div>
    <w:div w:id="1899784694">
      <w:bodyDiv w:val="1"/>
      <w:marLeft w:val="0"/>
      <w:marRight w:val="0"/>
      <w:marTop w:val="0"/>
      <w:marBottom w:val="0"/>
      <w:divBdr>
        <w:top w:val="none" w:sz="0" w:space="0" w:color="auto"/>
        <w:left w:val="none" w:sz="0" w:space="0" w:color="auto"/>
        <w:bottom w:val="none" w:sz="0" w:space="0" w:color="auto"/>
        <w:right w:val="none" w:sz="0" w:space="0" w:color="auto"/>
      </w:divBdr>
    </w:div>
    <w:div w:id="1913193387">
      <w:bodyDiv w:val="1"/>
      <w:marLeft w:val="0"/>
      <w:marRight w:val="0"/>
      <w:marTop w:val="0"/>
      <w:marBottom w:val="0"/>
      <w:divBdr>
        <w:top w:val="none" w:sz="0" w:space="0" w:color="auto"/>
        <w:left w:val="none" w:sz="0" w:space="0" w:color="auto"/>
        <w:bottom w:val="none" w:sz="0" w:space="0" w:color="auto"/>
        <w:right w:val="none" w:sz="0" w:space="0" w:color="auto"/>
      </w:divBdr>
    </w:div>
    <w:div w:id="1917787220">
      <w:bodyDiv w:val="1"/>
      <w:marLeft w:val="0"/>
      <w:marRight w:val="0"/>
      <w:marTop w:val="0"/>
      <w:marBottom w:val="0"/>
      <w:divBdr>
        <w:top w:val="none" w:sz="0" w:space="0" w:color="auto"/>
        <w:left w:val="none" w:sz="0" w:space="0" w:color="auto"/>
        <w:bottom w:val="none" w:sz="0" w:space="0" w:color="auto"/>
        <w:right w:val="none" w:sz="0" w:space="0" w:color="auto"/>
      </w:divBdr>
    </w:div>
    <w:div w:id="1919247337">
      <w:bodyDiv w:val="1"/>
      <w:marLeft w:val="0"/>
      <w:marRight w:val="0"/>
      <w:marTop w:val="0"/>
      <w:marBottom w:val="0"/>
      <w:divBdr>
        <w:top w:val="none" w:sz="0" w:space="0" w:color="auto"/>
        <w:left w:val="none" w:sz="0" w:space="0" w:color="auto"/>
        <w:bottom w:val="none" w:sz="0" w:space="0" w:color="auto"/>
        <w:right w:val="none" w:sz="0" w:space="0" w:color="auto"/>
      </w:divBdr>
    </w:div>
    <w:div w:id="1932277897">
      <w:bodyDiv w:val="1"/>
      <w:marLeft w:val="0"/>
      <w:marRight w:val="0"/>
      <w:marTop w:val="0"/>
      <w:marBottom w:val="0"/>
      <w:divBdr>
        <w:top w:val="none" w:sz="0" w:space="0" w:color="auto"/>
        <w:left w:val="none" w:sz="0" w:space="0" w:color="auto"/>
        <w:bottom w:val="none" w:sz="0" w:space="0" w:color="auto"/>
        <w:right w:val="none" w:sz="0" w:space="0" w:color="auto"/>
      </w:divBdr>
    </w:div>
    <w:div w:id="1934242179">
      <w:bodyDiv w:val="1"/>
      <w:marLeft w:val="0"/>
      <w:marRight w:val="0"/>
      <w:marTop w:val="0"/>
      <w:marBottom w:val="0"/>
      <w:divBdr>
        <w:top w:val="none" w:sz="0" w:space="0" w:color="auto"/>
        <w:left w:val="none" w:sz="0" w:space="0" w:color="auto"/>
        <w:bottom w:val="none" w:sz="0" w:space="0" w:color="auto"/>
        <w:right w:val="none" w:sz="0" w:space="0" w:color="auto"/>
      </w:divBdr>
    </w:div>
    <w:div w:id="1937253463">
      <w:bodyDiv w:val="1"/>
      <w:marLeft w:val="0"/>
      <w:marRight w:val="0"/>
      <w:marTop w:val="0"/>
      <w:marBottom w:val="0"/>
      <w:divBdr>
        <w:top w:val="none" w:sz="0" w:space="0" w:color="auto"/>
        <w:left w:val="none" w:sz="0" w:space="0" w:color="auto"/>
        <w:bottom w:val="none" w:sz="0" w:space="0" w:color="auto"/>
        <w:right w:val="none" w:sz="0" w:space="0" w:color="auto"/>
      </w:divBdr>
    </w:div>
    <w:div w:id="1995181696">
      <w:bodyDiv w:val="1"/>
      <w:marLeft w:val="0"/>
      <w:marRight w:val="0"/>
      <w:marTop w:val="0"/>
      <w:marBottom w:val="0"/>
      <w:divBdr>
        <w:top w:val="none" w:sz="0" w:space="0" w:color="auto"/>
        <w:left w:val="none" w:sz="0" w:space="0" w:color="auto"/>
        <w:bottom w:val="none" w:sz="0" w:space="0" w:color="auto"/>
        <w:right w:val="none" w:sz="0" w:space="0" w:color="auto"/>
      </w:divBdr>
    </w:div>
    <w:div w:id="2015453108">
      <w:bodyDiv w:val="1"/>
      <w:marLeft w:val="0"/>
      <w:marRight w:val="0"/>
      <w:marTop w:val="0"/>
      <w:marBottom w:val="0"/>
      <w:divBdr>
        <w:top w:val="none" w:sz="0" w:space="0" w:color="auto"/>
        <w:left w:val="none" w:sz="0" w:space="0" w:color="auto"/>
        <w:bottom w:val="none" w:sz="0" w:space="0" w:color="auto"/>
        <w:right w:val="none" w:sz="0" w:space="0" w:color="auto"/>
      </w:divBdr>
    </w:div>
    <w:div w:id="2028557051">
      <w:bodyDiv w:val="1"/>
      <w:marLeft w:val="0"/>
      <w:marRight w:val="0"/>
      <w:marTop w:val="0"/>
      <w:marBottom w:val="0"/>
      <w:divBdr>
        <w:top w:val="none" w:sz="0" w:space="0" w:color="auto"/>
        <w:left w:val="none" w:sz="0" w:space="0" w:color="auto"/>
        <w:bottom w:val="none" w:sz="0" w:space="0" w:color="auto"/>
        <w:right w:val="none" w:sz="0" w:space="0" w:color="auto"/>
      </w:divBdr>
    </w:div>
    <w:div w:id="2037999157">
      <w:bodyDiv w:val="1"/>
      <w:marLeft w:val="0"/>
      <w:marRight w:val="0"/>
      <w:marTop w:val="0"/>
      <w:marBottom w:val="0"/>
      <w:divBdr>
        <w:top w:val="none" w:sz="0" w:space="0" w:color="auto"/>
        <w:left w:val="none" w:sz="0" w:space="0" w:color="auto"/>
        <w:bottom w:val="none" w:sz="0" w:space="0" w:color="auto"/>
        <w:right w:val="none" w:sz="0" w:space="0" w:color="auto"/>
      </w:divBdr>
    </w:div>
    <w:div w:id="2063213783">
      <w:bodyDiv w:val="1"/>
      <w:marLeft w:val="0"/>
      <w:marRight w:val="0"/>
      <w:marTop w:val="0"/>
      <w:marBottom w:val="0"/>
      <w:divBdr>
        <w:top w:val="none" w:sz="0" w:space="0" w:color="auto"/>
        <w:left w:val="none" w:sz="0" w:space="0" w:color="auto"/>
        <w:bottom w:val="none" w:sz="0" w:space="0" w:color="auto"/>
        <w:right w:val="none" w:sz="0" w:space="0" w:color="auto"/>
      </w:divBdr>
    </w:div>
    <w:div w:id="2079209729">
      <w:bodyDiv w:val="1"/>
      <w:marLeft w:val="0"/>
      <w:marRight w:val="0"/>
      <w:marTop w:val="0"/>
      <w:marBottom w:val="0"/>
      <w:divBdr>
        <w:top w:val="none" w:sz="0" w:space="0" w:color="auto"/>
        <w:left w:val="none" w:sz="0" w:space="0" w:color="auto"/>
        <w:bottom w:val="none" w:sz="0" w:space="0" w:color="auto"/>
        <w:right w:val="none" w:sz="0" w:space="0" w:color="auto"/>
      </w:divBdr>
    </w:div>
    <w:div w:id="2085057785">
      <w:bodyDiv w:val="1"/>
      <w:marLeft w:val="0"/>
      <w:marRight w:val="0"/>
      <w:marTop w:val="0"/>
      <w:marBottom w:val="0"/>
      <w:divBdr>
        <w:top w:val="none" w:sz="0" w:space="0" w:color="auto"/>
        <w:left w:val="none" w:sz="0" w:space="0" w:color="auto"/>
        <w:bottom w:val="none" w:sz="0" w:space="0" w:color="auto"/>
        <w:right w:val="none" w:sz="0" w:space="0" w:color="auto"/>
      </w:divBdr>
    </w:div>
    <w:div w:id="2089690571">
      <w:bodyDiv w:val="1"/>
      <w:marLeft w:val="0"/>
      <w:marRight w:val="0"/>
      <w:marTop w:val="0"/>
      <w:marBottom w:val="0"/>
      <w:divBdr>
        <w:top w:val="none" w:sz="0" w:space="0" w:color="auto"/>
        <w:left w:val="none" w:sz="0" w:space="0" w:color="auto"/>
        <w:bottom w:val="none" w:sz="0" w:space="0" w:color="auto"/>
        <w:right w:val="none" w:sz="0" w:space="0" w:color="auto"/>
      </w:divBdr>
    </w:div>
    <w:div w:id="2115662076">
      <w:bodyDiv w:val="1"/>
      <w:marLeft w:val="0"/>
      <w:marRight w:val="0"/>
      <w:marTop w:val="0"/>
      <w:marBottom w:val="0"/>
      <w:divBdr>
        <w:top w:val="none" w:sz="0" w:space="0" w:color="auto"/>
        <w:left w:val="none" w:sz="0" w:space="0" w:color="auto"/>
        <w:bottom w:val="none" w:sz="0" w:space="0" w:color="auto"/>
        <w:right w:val="none" w:sz="0" w:space="0" w:color="auto"/>
      </w:divBdr>
    </w:div>
    <w:div w:id="212804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hyperlink" Target="mailto:marta.czajkowska-baldyga@dmbps.pl"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54" Type="http://schemas.openxmlformats.org/officeDocument/2006/relationships/hyperlink" Target="mailto:damian.szparaga@dmbps.pl" TargetMode="External"/><Relationship Id="rId62" Type="http://schemas.openxmlformats.org/officeDocument/2006/relationships/hyperlink" Target="mailto:krzysztof.solus@dmbps.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hyperlink" Target="mailto:marcin.stebakow@dmbps.pl" TargetMode="External"/><Relationship Id="rId58" Type="http://schemas.openxmlformats.org/officeDocument/2006/relationships/hyperlink" Target="mailto:piotr.majka@dmbps.pl"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hyperlink" Target="mailto:beata.zbrzezna@dmbps.pl" TargetMode="External"/><Relationship Id="rId61" Type="http://schemas.openxmlformats.org/officeDocument/2006/relationships/hyperlink" Target="mailto:artur.kobos@dmbps.pl" TargetMode="Externa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hyperlink" Target="mailto:??xxxx??@dmbps.pl" TargetMode="External"/><Relationship Id="rId60" Type="http://schemas.openxmlformats.org/officeDocument/2006/relationships/hyperlink" Target="mailto:jan.wozniak@dmbps.p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hyperlink" Target="mailto:kamil.szlaga@dmbps.pl"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dmbps.pl"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hyperlink" Target="mailto:Bogdan.dzimira@dmbps.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dm@dmbps.pl" TargetMode="External"/><Relationship Id="rId1" Type="http://schemas.openxmlformats.org/officeDocument/2006/relationships/hyperlink" Target="http://www.dmbps.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5C684-1C57-46DE-994D-EF0CDC11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6550</Words>
  <Characters>39301</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Komentarz do sesji</vt:lpstr>
    </vt:vector>
  </TitlesOfParts>
  <Company>Bank Polskiej Spółdzielczości</Company>
  <LinksUpToDate>false</LinksUpToDate>
  <CharactersWithSpaces>45760</CharactersWithSpaces>
  <SharedDoc>false</SharedDoc>
  <HLinks>
    <vt:vector size="96" baseType="variant">
      <vt:variant>
        <vt:i4>2621531</vt:i4>
      </vt:variant>
      <vt:variant>
        <vt:i4>39</vt:i4>
      </vt:variant>
      <vt:variant>
        <vt:i4>0</vt:i4>
      </vt:variant>
      <vt:variant>
        <vt:i4>5</vt:i4>
      </vt:variant>
      <vt:variant>
        <vt:lpwstr>mailto:maciej.guzek@dmbps.pl</vt:lpwstr>
      </vt:variant>
      <vt:variant>
        <vt:lpwstr/>
      </vt:variant>
      <vt:variant>
        <vt:i4>7077910</vt:i4>
      </vt:variant>
      <vt:variant>
        <vt:i4>36</vt:i4>
      </vt:variant>
      <vt:variant>
        <vt:i4>0</vt:i4>
      </vt:variant>
      <vt:variant>
        <vt:i4>5</vt:i4>
      </vt:variant>
      <vt:variant>
        <vt:lpwstr>mailto:jan.wozniak@dmbps.pl</vt:lpwstr>
      </vt:variant>
      <vt:variant>
        <vt:lpwstr/>
      </vt:variant>
      <vt:variant>
        <vt:i4>5832802</vt:i4>
      </vt:variant>
      <vt:variant>
        <vt:i4>33</vt:i4>
      </vt:variant>
      <vt:variant>
        <vt:i4>0</vt:i4>
      </vt:variant>
      <vt:variant>
        <vt:i4>5</vt:i4>
      </vt:variant>
      <vt:variant>
        <vt:lpwstr>mailto:katarzyna.patora-kopec@dmbps.pl</vt:lpwstr>
      </vt:variant>
      <vt:variant>
        <vt:lpwstr/>
      </vt:variant>
      <vt:variant>
        <vt:i4>5767217</vt:i4>
      </vt:variant>
      <vt:variant>
        <vt:i4>30</vt:i4>
      </vt:variant>
      <vt:variant>
        <vt:i4>0</vt:i4>
      </vt:variant>
      <vt:variant>
        <vt:i4>5</vt:i4>
      </vt:variant>
      <vt:variant>
        <vt:lpwstr>mailto:lech.kucharski@dmbps.pl</vt:lpwstr>
      </vt:variant>
      <vt:variant>
        <vt:lpwstr/>
      </vt:variant>
      <vt:variant>
        <vt:i4>7995408</vt:i4>
      </vt:variant>
      <vt:variant>
        <vt:i4>27</vt:i4>
      </vt:variant>
      <vt:variant>
        <vt:i4>0</vt:i4>
      </vt:variant>
      <vt:variant>
        <vt:i4>5</vt:i4>
      </vt:variant>
      <vt:variant>
        <vt:lpwstr>mailto:artur.kobos@dmbps.pl</vt:lpwstr>
      </vt:variant>
      <vt:variant>
        <vt:lpwstr/>
      </vt:variant>
      <vt:variant>
        <vt:i4>5701680</vt:i4>
      </vt:variant>
      <vt:variant>
        <vt:i4>24</vt:i4>
      </vt:variant>
      <vt:variant>
        <vt:i4>0</vt:i4>
      </vt:variant>
      <vt:variant>
        <vt:i4>5</vt:i4>
      </vt:variant>
      <vt:variant>
        <vt:lpwstr>mailto:grzegorz.kolcz@dmbps.pl</vt:lpwstr>
      </vt:variant>
      <vt:variant>
        <vt:lpwstr/>
      </vt:variant>
      <vt:variant>
        <vt:i4>5373999</vt:i4>
      </vt:variant>
      <vt:variant>
        <vt:i4>21</vt:i4>
      </vt:variant>
      <vt:variant>
        <vt:i4>0</vt:i4>
      </vt:variant>
      <vt:variant>
        <vt:i4>5</vt:i4>
      </vt:variant>
      <vt:variant>
        <vt:lpwstr>mailto:Bogdan.dzimira@dmbps.pl</vt:lpwstr>
      </vt:variant>
      <vt:variant>
        <vt:lpwstr/>
      </vt:variant>
      <vt:variant>
        <vt:i4>6750228</vt:i4>
      </vt:variant>
      <vt:variant>
        <vt:i4>18</vt:i4>
      </vt:variant>
      <vt:variant>
        <vt:i4>0</vt:i4>
      </vt:variant>
      <vt:variant>
        <vt:i4>5</vt:i4>
      </vt:variant>
      <vt:variant>
        <vt:lpwstr>mailto:ludmila.krynska@dmbps.pl</vt:lpwstr>
      </vt:variant>
      <vt:variant>
        <vt:lpwstr/>
      </vt:variant>
      <vt:variant>
        <vt:i4>2162779</vt:i4>
      </vt:variant>
      <vt:variant>
        <vt:i4>15</vt:i4>
      </vt:variant>
      <vt:variant>
        <vt:i4>0</vt:i4>
      </vt:variant>
      <vt:variant>
        <vt:i4>5</vt:i4>
      </vt:variant>
      <vt:variant>
        <vt:lpwstr>mailto:marcin.sojka@dmbps.pl</vt:lpwstr>
      </vt:variant>
      <vt:variant>
        <vt:lpwstr/>
      </vt:variant>
      <vt:variant>
        <vt:i4>7929877</vt:i4>
      </vt:variant>
      <vt:variant>
        <vt:i4>12</vt:i4>
      </vt:variant>
      <vt:variant>
        <vt:i4>0</vt:i4>
      </vt:variant>
      <vt:variant>
        <vt:i4>5</vt:i4>
      </vt:variant>
      <vt:variant>
        <vt:lpwstr>mailto:piotr.trendowski@dmbps.pl</vt:lpwstr>
      </vt:variant>
      <vt:variant>
        <vt:lpwstr/>
      </vt:variant>
      <vt:variant>
        <vt:i4>7077916</vt:i4>
      </vt:variant>
      <vt:variant>
        <vt:i4>9</vt:i4>
      </vt:variant>
      <vt:variant>
        <vt:i4>0</vt:i4>
      </vt:variant>
      <vt:variant>
        <vt:i4>5</vt:i4>
      </vt:variant>
      <vt:variant>
        <vt:lpwstr>mailto:sobieslaw.kozlowski@dmbps.pl</vt:lpwstr>
      </vt:variant>
      <vt:variant>
        <vt:lpwstr/>
      </vt:variant>
      <vt:variant>
        <vt:i4>8192079</vt:i4>
      </vt:variant>
      <vt:variant>
        <vt:i4>6</vt:i4>
      </vt:variant>
      <vt:variant>
        <vt:i4>0</vt:i4>
      </vt:variant>
      <vt:variant>
        <vt:i4>5</vt:i4>
      </vt:variant>
      <vt:variant>
        <vt:lpwstr>mailto:??xxxx??@dmbps.pl</vt:lpwstr>
      </vt:variant>
      <vt:variant>
        <vt:lpwstr/>
      </vt:variant>
      <vt:variant>
        <vt:i4>65551</vt:i4>
      </vt:variant>
      <vt:variant>
        <vt:i4>3</vt:i4>
      </vt:variant>
      <vt:variant>
        <vt:i4>0</vt:i4>
      </vt:variant>
      <vt:variant>
        <vt:i4>5</vt:i4>
      </vt:variant>
      <vt:variant>
        <vt:lpwstr>http://www.dmbps.pl/</vt:lpwstr>
      </vt:variant>
      <vt:variant>
        <vt:lpwstr/>
      </vt:variant>
      <vt:variant>
        <vt:i4>7077916</vt:i4>
      </vt:variant>
      <vt:variant>
        <vt:i4>0</vt:i4>
      </vt:variant>
      <vt:variant>
        <vt:i4>0</vt:i4>
      </vt:variant>
      <vt:variant>
        <vt:i4>5</vt:i4>
      </vt:variant>
      <vt:variant>
        <vt:lpwstr>mailto:sobieslaw.kozlowski@dmbps.pl</vt:lpwstr>
      </vt:variant>
      <vt:variant>
        <vt:lpwstr/>
      </vt:variant>
      <vt:variant>
        <vt:i4>1638434</vt:i4>
      </vt:variant>
      <vt:variant>
        <vt:i4>3</vt:i4>
      </vt:variant>
      <vt:variant>
        <vt:i4>0</vt:i4>
      </vt:variant>
      <vt:variant>
        <vt:i4>5</vt:i4>
      </vt:variant>
      <vt:variant>
        <vt:lpwstr>mailto:dm@dmbps.pl</vt:lpwstr>
      </vt:variant>
      <vt:variant>
        <vt:lpwstr/>
      </vt:variant>
      <vt:variant>
        <vt:i4>65551</vt:i4>
      </vt:variant>
      <vt:variant>
        <vt:i4>0</vt:i4>
      </vt:variant>
      <vt:variant>
        <vt:i4>0</vt:i4>
      </vt:variant>
      <vt:variant>
        <vt:i4>5</vt:i4>
      </vt:variant>
      <vt:variant>
        <vt:lpwstr>http://www.dmbps.pl/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Komentarz do sesji</dc:title>
  <dc:creator>justyna.zalewska</dc:creator>
  <cp:lastModifiedBy>kamil.artyszuk</cp:lastModifiedBy>
  <cp:revision>7</cp:revision>
  <cp:lastPrinted>2013-10-04T06:05:00Z</cp:lastPrinted>
  <dcterms:created xsi:type="dcterms:W3CDTF">2013-10-03T12:04:00Z</dcterms:created>
  <dcterms:modified xsi:type="dcterms:W3CDTF">2013-10-22T12:54:00Z</dcterms:modified>
</cp:coreProperties>
</file>